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محمد الغزنوي
</w:t>
      </w:r>
    </w:p>
    <w:p>
      <w:pPr>
        <w:jc w:val="start"/>
        <w:bidi/>
      </w:pPr>
      <w:r>
        <w:rPr>
          <w:rFonts w:ascii="arial" w:hAnsi="arial" w:eastAsia="arial" w:cs="arial"/>
          <w:sz w:val="28"/>
          <w:szCs w:val="28"/>
          <w:b w:val="1"/>
          <w:bCs w:val="1"/>
          <w:rtl/>
        </w:rPr>
        <w:t xml:space="preserve">أحمد بن محمد الغزنوي
</w:t>
      </w:r>
    </w:p>
    <w:p>
      <w:pPr/>
      <w:r>
        <w:rPr/>
        <w:t xml:space="preserve">أحمد بن محمد الغزنوي أحمد بن محمد بن محمود بن سعيد الغزنوي الكاشاني تفقه على أحمد بن يوسف الحسيني العلوي وتفقه به جماعة وصنف كتاب روضة اختلاف العلماء ومقدمة في الفقه عرفت بالغزنوية وكتاب في أصول الفقه وكتاب روضة المتكلمين في أصول الدين وكتاب المنتقى من روضة المتكلمين وكتاب البدايع في الفقه مات بحلب بعد سنة ثلاث وتسعين وخمسمائة قلت: ليس الغزنوي بالكاشاني وكتاب البدايع للكاشاني لا الغزنوي وكان الغزنوي معيد درس الكاشاني والله أعلم.</w:t>
      </w:r>
    </w:p>
    <w:p>
      <w:pPr>
        <w:jc w:val="start"/>
        <w:bidi/>
      </w:pPr>
      <w:r>
        <w:rPr>
          <w:sz w:val="24"/>
          <w:szCs w:val="24"/>
          <w:b w:val="1"/>
          <w:bCs w:val="1"/>
          <w:rtl/>
        </w:rPr>
        <w:t xml:space="preserve">
تاج التراجم في طبقات الحنفية،(دار القلم - دمشق،1992،ط 1،ج 1،ص 104)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2026-06-27T22:59:37+03:00</dcterms:created>
  <dcterms:modified xsi:type="dcterms:W3CDTF">2026-06-27T22:59:37+03:00</dcterms:modified>
</cp:coreProperties>
</file>

<file path=docProps/custom.xml><?xml version="1.0" encoding="utf-8"?>
<Properties xmlns="http://schemas.openxmlformats.org/officeDocument/2006/custom-properties" xmlns:vt="http://schemas.openxmlformats.org/officeDocument/2006/docPropsVTypes"/>
</file>