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عمرو، أبو بكر الخصاف
</w:t>
      </w:r>
    </w:p>
    <w:p>
      <w:pPr>
        <w:jc w:val="start"/>
        <w:bidi/>
      </w:pPr>
      <w:r>
        <w:rPr>
          <w:rFonts w:ascii="arial" w:hAnsi="arial" w:eastAsia="arial" w:cs="arial"/>
          <w:sz w:val="28"/>
          <w:szCs w:val="28"/>
          <w:b w:val="1"/>
          <w:bCs w:val="1"/>
          <w:rtl/>
        </w:rPr>
        <w:t xml:space="preserve">أحمد بن عمرو، أبو بكر الخصاف
</w:t>
      </w:r>
    </w:p>
    <w:p>
      <w:pPr/>
      <w:r>
        <w:rPr/>
        <w:t xml:space="preserve">أحمد بن عمرو، أبو بكر الخصاف أحمد بن عمرو -وقيل: عمر-بن مهير وقيل: مهران-، أبو بكرالخصاف، الشيباني.</w:t>
      </w:r>
    </w:p>
    <w:p/>
    <w:p>
      <w:pPr/>
      <w:r>
        <w:rPr/>
        <w:t xml:space="preserve">حدث عن أبي عاصم النبيل وأبي داود الطيالسي ومسدد وجماعة.</w:t>
      </w:r>
    </w:p>
    <w:p/>
    <w:p>
      <w:pPr/>
      <w:r>
        <w:rPr/>
        <w:t xml:space="preserve">وكان فاضلا فارضا حاسبا عارفا بالفقه، مقدما عند الخليفة المهتدي بالله. فلما قتل المهتدي نهب فذهب بعض كتبه.</w:t>
      </w:r>
    </w:p>
    <w:p/>
    <w:p>
      <w:pPr/>
      <w:r>
        <w:rPr/>
        <w:t xml:space="preserve">وصنف كتاب ’’الحيل’’ وكتاب ’’الوصايا’’ وكتاب ’’الشروط’’ كبير وصغير وكتاب ’’الرضاع’’ وكتاب ’’المحاضر والسجلات’’ وكتاب ’’أدب القاضي’’ وكتاب ’’النفقات على الأقارب’’ وكتاب ’’إقرار الورثة بعضهم لبعض’’ وكتاب ’’أحكام الوقف’’ وكتاب ’’النفقات’’ وكتاب ’’العصير وأحكامه’’ وكتاب ’’ذرع الكعبة والمسجد الحرام والقبر المقدس’’ وكتاب ’’الخراج’’ وكتاب ’’المناسك’’.</w:t>
      </w:r>
    </w:p>
    <w:p/>
    <w:p>
      <w:pPr/>
      <w:r>
        <w:rPr/>
        <w:t xml:space="preserve">نهب قبل أن يخرج للناس. وذكر أنه كان يأكل من كسب يده.</w:t>
      </w:r>
    </w:p>
    <w:p/>
    <w:p>
      <w:pPr/>
      <w:r>
        <w:rPr/>
        <w:t xml:space="preserve">مات ببغداد سنة إحدى وستين ومائتين.</w:t>
      </w:r>
    </w:p>
    <w:p>
      <w:pPr>
        <w:jc w:val="start"/>
        <w:bidi/>
      </w:pPr>
      <w:r>
        <w:rPr>
          <w:sz w:val="24"/>
          <w:szCs w:val="24"/>
          <w:b w:val="1"/>
          <w:bCs w:val="1"/>
          <w:rtl/>
        </w:rPr>
        <w:t xml:space="preserve">
تاج التراجم في طبقات الحنفية،(دار القلم - دمشق،1992،ط 1،ج 1،ص 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الخصاف
</w:t>
      </w:r>
    </w:p>
    <w:p>
      <w:pPr/>
      <w:r>
        <w:rPr/>
        <w:t xml:space="preserve">أحمد بن عمرو الخصاف صاحب الشروط وأحكام الوقوف وأدب القاضي والرضاع والنفقات.</w:t>
      </w:r>
    </w:p>
    <w:p>
      <w:pPr>
        <w:jc w:val="start"/>
        <w:bidi/>
      </w:pPr>
      <w:r>
        <w:rPr>
          <w:sz w:val="24"/>
          <w:szCs w:val="24"/>
          <w:b w:val="1"/>
          <w:bCs w:val="1"/>
          <w:rtl/>
        </w:rPr>
        <w:t xml:space="preserve">
طبقات الفقهاء / للشيرازي،(دار الرائد العربي - بيروت،1970،ط 1،ج 1،ص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عمرو وأبو بكر الخصاف الحنفي صاحب الشروط.
</w:t>
      </w:r>
    </w:p>
    <w:p>
      <w:pPr/>
      <w:r>
        <w:rPr/>
        <w:t xml:space="preserve">وأحمد بن عمرو وأبو بكر الخصاف الحنفي صاحب الشروط. </w:t>
      </w:r>
    </w:p>
    <w:p/>
    <w:p>
      <w:pPr/>
      <w:r>
        <w:rPr/>
        <w:t xml:space="preserve">مات ببغداد سنة إحدى وستين ومائتين.</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2026-06-27T23:05:02+03:00</dcterms:created>
  <dcterms:modified xsi:type="dcterms:W3CDTF">2026-06-27T23:05:02+03:00</dcterms:modified>
</cp:coreProperties>
</file>

<file path=docProps/custom.xml><?xml version="1.0" encoding="utf-8"?>
<Properties xmlns="http://schemas.openxmlformats.org/officeDocument/2006/custom-properties" xmlns:vt="http://schemas.openxmlformats.org/officeDocument/2006/docPropsVTypes"/>
</file>