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
</w:t>
      </w:r>
    </w:p>
    <w:p>
      <w:pPr/>
      <w:r>
        <w:rPr/>
        <w:t xml:space="preserve">هشام بن حبيش من أهل طليطلة.</w:t>
      </w:r>
    </w:p>
    <w:p/>
    <w:p>
      <w:pPr/>
      <w:r>
        <w:rPr/>
        <w:t xml:space="preserve">كان: صاحب راي ومسائل. ورحل فسمع: من ابن القاسم، وأشهب بن عبد العزيز. وكان من أهل الفتيا والاسماع، وكان يبصر بالأعراب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2026-06-27T17:42:00+03:00</dcterms:created>
  <dcterms:modified xsi:type="dcterms:W3CDTF">2026-06-27T17:42:00+03:00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