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الأغلب العجلي
</w:t>
      </w:r>
    </w:p>
    <w:p>
      <w:pPr>
        <w:jc w:val="start"/>
        <w:bidi/>
      </w:pPr>
      <w:r>
        <w:rPr>
          <w:rFonts w:ascii="arial" w:hAnsi="arial" w:eastAsia="arial" w:cs="arial"/>
          <w:sz w:val="28"/>
          <w:szCs w:val="28"/>
          <w:b w:val="1"/>
          <w:bCs w:val="1"/>
          <w:rtl/>
        </w:rPr>
        <w:t xml:space="preserve">الأغلب العجلي
</w:t>
      </w:r>
    </w:p>
    <w:p>
      <w:pPr/>
      <w:r>
        <w:rPr/>
        <w:t xml:space="preserve">الأغلب العجلي  الاغلب بن عمرو بن عبيدة بن حارثة، من بنى عجل بن لجيم، من ربيعة: شاعر راجز معمر. ادرك الجاهلية والاسلام وتوجه مع سعد بن أبي وقاص غازيا فنزل الكوفة، واستشهد في واقعة نهاوند. وهو اول من اطال الرجز. واصنهم كلاما واصحهم معاني. وقال البكري في شرح نوادر القالي: الاغلب العجلي اخر من عمر في الجاهلية عمرا طويلا. </w:t>
      </w:r>
    </w:p>
    <w:p>
      <w:pPr>
        <w:jc w:val="start"/>
        <w:bidi/>
      </w:pPr>
      <w:r>
        <w:rPr>
          <w:sz w:val="24"/>
          <w:szCs w:val="24"/>
          <w:b w:val="1"/>
          <w:bCs w:val="1"/>
          <w:rtl/>
        </w:rPr>
        <w:t xml:space="preserve">
الأعلام،(دار العلم للملايين - بيروت،2002،ط 15،ج 1،ص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 الراجز
</w:t>
      </w:r>
    </w:p>
    <w:p>
      <w:pPr/>
      <w:r>
        <w:rPr/>
        <w:t xml:space="preserve">الأغلب الراجز (الأغلب الراجز العجلي) وهو الأغلب بن جشم بن عمرو بن عبيدة بن حارثة بن دلف ابن جشم بن قيس بن سعد بن عجل بن لجيم. </w:t>
      </w:r>
    </w:p>
    <w:p/>
    <w:p>
      <w:pPr/>
      <w:r>
        <w:rPr/>
        <w:t xml:space="preserve">قال ابن قتيبة: أدرك الإسلام فأسلم وحسن إسلامه، وهاجر ثم كان فيمن سار إلى العراق مع سعد ابن أبي وقاص، فنزل الكوفة، واستشهد في وقعة نهاوند، وقبره بها. ذكره الأشيري.</w:t>
      </w:r>
    </w:p>
    <w:p>
      <w:pPr>
        <w:jc w:val="start"/>
        <w:bidi/>
      </w:pPr>
      <w:r>
        <w:rPr>
          <w:sz w:val="24"/>
          <w:szCs w:val="24"/>
          <w:b w:val="1"/>
          <w:bCs w:val="1"/>
          <w:rtl/>
        </w:rPr>
        <w:t xml:space="preserve">
أسد الغابة في معرفة الصحابة،(دار ابن حزم - بيروت،2012،ط 1،ج 1،ص 58)/(دار الكتب العلمية - بيروت،1994،ط 1،ج 1،ص 261)/(دار الفكر - بيروت،1989،ط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 بن جشم
</w:t>
      </w:r>
    </w:p>
    <w:p>
      <w:pPr/>
      <w:r>
        <w:rPr/>
        <w:t xml:space="preserve">الأغلب بن جشم بن عمرو بن عبيدة بن حارثة بن دلف بن جشم بن قيس ابن سعد بن عجل العجلي الراجز المشهور. قال ابن قتيبة، أدرك الإسلام فأسلم وهاجر، ثم كان ممن سار إلى العراق مع سعد، فنزل الكوفة، واستشهد في وقعة نهاوند. واستدركه ابن الأثير.</w:t>
      </w:r>
    </w:p>
    <w:p/>
    <w:p>
      <w:pPr/>
      <w:r>
        <w:rPr/>
        <w:t xml:space="preserve">قلت: ليس في قوله: «وهاجر» - ما يدل على أنه هاجر إلى النبي صلى الله عليه وسلم، فيحتمل أنه أراد هاجر إلى المدينة بعد موته صلى الله عليه وسلم، ولهذا لم يذكره أحد في الصحابة.</w:t>
      </w:r>
    </w:p>
    <w:p/>
    <w:p>
      <w:pPr/>
      <w:r>
        <w:rPr/>
        <w:t xml:space="preserve">وقد قال المرزباني في معجمه: هو مخضرم. وروى أبو الفرج الأصبهاني بإسناده إلى الشعبي، قال: كتب عمر إلى المغيرة بن شعبة وهو على الكوفة أن استنشد من قبلك من الشعراء عما قالوه في الإسلام: قال: فانطلق لبيد فكتب سورة البقرة في صحيفة، وقال: قد أبدلني الله بهذه في الإسلام مكان الشعر. وجاء الأغلب إلى المغيرة فقال له:</w:t>
      </w:r>
    </w:p>
    <w:p/>
    <w:p>
      <w:pPr>
        <w:jc w:val="center"/>
      </w:pPr>
      <w:r>
        <w:rPr>
          <w:color w:val="ff0000"/>
        </w:rPr>
        <w:t xml:space="preserve">أرجزا تريد أم قصيدا</w:t>
      </w:r>
      <w:r>
        <w:rPr>
          <w:color w:val="ff0000"/>
        </w:rPr>
        <w:t xml:space="preserve">      </w:t>
      </w:r>
      <w:r>
        <w:rPr>
          <w:color w:val="ff0000"/>
        </w:rPr>
        <w:t xml:space="preserve">لقد طلبت هينا موجودا</w:t>
      </w:r>
    </w:p>
    <w:p/>
    <w:p>
      <w:pPr/>
      <w:r>
        <w:rPr/>
        <w:t xml:space="preserve">فكتب بذلك إلى عمر، فكتب إليه: أنقص من عطاء الأغلب خمسمائة فزدها في عطاء لبيد.</w:t>
      </w:r>
    </w:p>
    <w:p/>
    <w:p>
      <w:pPr/>
      <w:r>
        <w:rPr/>
        <w:t xml:space="preserve">ورواه ابن دريد في الأخبار «المنثورة» عن الرياشي، عن أبي معمر، عن عبد الوارث، عن أبي عمرو بن العلاء نحوه. وأنشد له المرزباني:</w:t>
      </w:r>
    </w:p>
    <w:p/>
    <w:p>
      <w:pPr>
        <w:jc w:val="center"/>
      </w:pPr>
      <w:r>
        <w:rPr>
          <w:color w:val="ff0000"/>
        </w:rPr>
        <w:t xml:space="preserve">الغمرات ثم تنجلينا</w:t>
      </w:r>
      <w:r>
        <w:rPr>
          <w:color w:val="ff0000"/>
        </w:rPr>
        <w:t xml:space="preserve">      </w:t>
      </w:r>
      <w:r>
        <w:rPr>
          <w:color w:val="ff0000"/>
        </w:rPr>
        <w:t xml:space="preserve">ثمت تذهبن ولا تجينا</w:t>
      </w:r>
    </w:p>
    <w:p/>
    <w:p>
      <w:pPr/>
      <w:r>
        <w:rPr/>
        <w:t xml:space="preserve">وقوله:</w:t>
      </w:r>
    </w:p>
    <w:p/>
    <w:p>
      <w:pPr>
        <w:jc w:val="center"/>
      </w:pPr>
      <w:r>
        <w:rPr>
          <w:color w:val="ff0000"/>
        </w:rPr>
        <w:t xml:space="preserve">المرء تواق إلى ما لم ينل</w:t>
      </w:r>
      <w:r>
        <w:rPr>
          <w:color w:val="ff0000"/>
        </w:rPr>
        <w:t xml:space="preserve">      </w:t>
      </w:r>
      <w:r>
        <w:rPr>
          <w:color w:val="ff0000"/>
        </w:rPr>
        <w:t xml:space="preserve">والموت يتلوه ويلهيه الأمل</w:t>
      </w:r>
    </w:p>
    <w:p/>
    <w:p>
      <w:pPr/>
      <w:r>
        <w:rPr/>
        <w:t xml:space="preserve">وأنشد أبو الفرج أرجوزة، يهجو فيها سجاح التي ادعت النبوة وتزوجت بمسيلمة الكذاب.</w:t>
      </w:r>
    </w:p>
    <w:p>
      <w:pPr>
        <w:jc w:val="start"/>
        <w:bidi/>
      </w:pPr>
      <w:r>
        <w:rPr>
          <w:sz w:val="24"/>
          <w:szCs w:val="24"/>
          <w:b w:val="1"/>
          <w:bCs w:val="1"/>
          <w:rtl/>
        </w:rPr>
        <w:t xml:space="preserve">
الإصابة في تمييز الصحابة،(دار الكتب العلمية - بيروت،1995،ط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 العجلي
</w:t>
      </w:r>
    </w:p>
    <w:p>
      <w:pPr/>
      <w:r>
        <w:rPr/>
        <w:t xml:space="preserve">الأغلب العجلي الراجز. تقدم في الأول.</w:t>
      </w:r>
    </w:p>
    <w:p>
      <w:pPr>
        <w:jc w:val="start"/>
        <w:bidi/>
      </w:pPr>
      <w:r>
        <w:rPr>
          <w:sz w:val="24"/>
          <w:szCs w:val="24"/>
          <w:b w:val="1"/>
          <w:bCs w:val="1"/>
          <w:rtl/>
        </w:rPr>
        <w:t xml:space="preserve">
الإصابة في تمييز الصحابة،(دار الكتب العلمية - بيروت،1995،ط 1،ج 1،ص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2026-07-05T15:15:33+03:00</dcterms:created>
  <dcterms:modified xsi:type="dcterms:W3CDTF">2026-07-05T15:15:33+03:00</dcterms:modified>
</cp:coreProperties>
</file>

<file path=docProps/custom.xml><?xml version="1.0" encoding="utf-8"?>
<Properties xmlns="http://schemas.openxmlformats.org/officeDocument/2006/custom-properties" xmlns:vt="http://schemas.openxmlformats.org/officeDocument/2006/docPropsVTypes"/>
</file>