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جعفر البلوي
</w:t>
      </w:r>
    </w:p>
    <w:p>
      <w:pPr>
        <w:jc w:val="start"/>
        <w:bidi/>
      </w:pPr>
      <w:r>
        <w:rPr>
          <w:rFonts w:ascii="arial" w:hAnsi="arial" w:eastAsia="arial" w:cs="arial"/>
          <w:sz w:val="28"/>
          <w:szCs w:val="28"/>
          <w:b w:val="1"/>
          <w:bCs w:val="1"/>
          <w:rtl/>
        </w:rPr>
        <w:t xml:space="preserve">محمد بن أحمد بن جعفر البلوي
</w:t>
      </w:r>
    </w:p>
    <w:p>
      <w:pPr/>
      <w:r>
        <w:rPr/>
        <w:t xml:space="preserve">محمد بن أحمد بن جعفر البلوي من أهل القيروان؛ يكنى: أبا عبد الله.</w:t>
      </w:r>
    </w:p>
    <w:p/>
    <w:p>
      <w:pPr/>
      <w:r>
        <w:rPr/>
        <w:t xml:space="preserve">سكن بجانة. حدث عن أب يالفضل صالح بن محمد بن شاذان الأصبهاني، وكان قدم عليهم إفريقية، وعن أبي القاسم محمد بن محمد بن خالد الطرري، وأحمد بن زياد، وأحمد بن حسان قضاء سسة. رأيت السماع عليه في بعض أصوله سنة: ثمان وثلاثين وثلاث مائة. وسنة أربعين. روى عن مجاهد بن حسان شيخنا وغيره.</w:t>
      </w:r>
    </w:p>
    <w:p/>
    <w:p/>
    <w:p>
      <w:pPr>
        <w:jc w:val="start"/>
        <w:bidi/>
      </w:pPr>
      <w:r>
        <w:rPr>
          <w:sz w:val="24"/>
          <w:szCs w:val="24"/>
          <w:b w:val="1"/>
          <w:bCs w:val="1"/>
          <w:rtl/>
        </w:rPr>
        <w:t xml:space="preserve">
تاريخ علماء الأندلس،( مكتبة الخانجي - القاهرة،1988،ط 2،ج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2026-06-27T13:01:17+03:00</dcterms:created>
  <dcterms:modified xsi:type="dcterms:W3CDTF">2026-06-27T13:01:17+03:00</dcterms:modified>
</cp:coreProperties>
</file>

<file path=docProps/custom.xml><?xml version="1.0" encoding="utf-8"?>
<Properties xmlns="http://schemas.openxmlformats.org/officeDocument/2006/custom-properties" xmlns:vt="http://schemas.openxmlformats.org/officeDocument/2006/docPropsVTypes"/>
</file>