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الرياحي
</w:t>
      </w:r>
    </w:p>
    <w:p>
      <w:pPr>
        <w:jc w:val="start"/>
        <w:bidi/>
      </w:pPr>
      <w:r>
        <w:rPr>
          <w:rFonts w:ascii="arial" w:hAnsi="arial" w:eastAsia="arial" w:cs="arial"/>
          <w:sz w:val="28"/>
          <w:szCs w:val="28"/>
          <w:b w:val="1"/>
          <w:bCs w:val="1"/>
          <w:rtl/>
        </w:rPr>
        <w:t xml:space="preserve">إبراهيم الرياحي
</w:t>
      </w:r>
    </w:p>
    <w:p>
      <w:pPr/>
      <w:r>
        <w:rPr/>
        <w:t xml:space="preserve">إبراهيم الرياحي  إبراهيم بن عبد القادر بن أحمد الرياحي التونسي، أبو اسحاق: فقيه مالكي، من أهل المغرب، له نظم. ولد في تستور ونشأ وتوفي بتونس. وولي رئاسة الفتوى فيها. له رسائل وخطب جمع أكثرها في كتاب سمي (تعطير النواحي بترجمة سيدي إبراهيم الرياحي - ط) ومن كتبه (ديوان خطب منبرية) و (حاشية على الفاكهي).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2026-05-16T17:51:05+03:00</dcterms:created>
  <dcterms:modified xsi:type="dcterms:W3CDTF">2026-05-16T17:51:05+03:00</dcterms:modified>
</cp:coreProperties>
</file>

<file path=docProps/custom.xml><?xml version="1.0" encoding="utf-8"?>
<Properties xmlns="http://schemas.openxmlformats.org/officeDocument/2006/custom-properties" xmlns:vt="http://schemas.openxmlformats.org/officeDocument/2006/docPropsVTypes"/>
</file>