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أفلح
</w:t>
      </w:r>
    </w:p>
    <w:p>
      <w:pPr/>
      <w:r>
        <w:rPr/>
        <w:t xml:space="preserve">محمد بن أفلح من أهل بجانة؛ يكنى: أبا عبد الله.</w:t>
      </w:r>
    </w:p>
    <w:p/>
    <w:p>
      <w:pPr/>
      <w:r>
        <w:rPr/>
        <w:t xml:space="preserve">سمع بقرطبة: من أحمد بن سعيد، ومحمد بن معاوية القرشي، وإسماعيل ابن القاسم البغذاذي، ومحمد بن عمر القوطية وغيرهم من نظرائهم. وكان: بصيرا بالنحو، حافظا للفقه، حسن الخط، جيد الضبط، له حظ من الفقه. وكان حلينا، أديبا، وافر المرؤة. توفي (رحمه الله): لأربع خلون من ذي الحجة سنة خمس وثمانين وثلاث مائة. وهو ابن ثمان وأربعين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2026-06-27T11:44:11+03:00</dcterms:created>
  <dcterms:modified xsi:type="dcterms:W3CDTF">2026-06-27T11:44:11+03:00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