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صالح المعافري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صالح المعافري
</w:t>
      </w:r>
    </w:p>
    <w:p>
      <w:pPr/>
      <w:r>
        <w:rPr/>
        <w:t xml:space="preserve">محمد بن صالح المعافري من أهل قرطبة.</w:t>
      </w:r>
    </w:p>
    <w:p/>
    <w:p>
      <w:pPr/>
      <w:r>
        <w:rPr/>
        <w:t xml:space="preserve">سمع بقرطبة: من قاسم بن أصبغ وغيره، ورحل إلى المشرق فسمع بمكة: من ابن الأعرابي ومن غيره من المكيين ودخل العراق فكتب بها عن كثير من</w:t>
      </w:r>
    </w:p>
    <w:p/>
    <w:p>
      <w:pPr/>
      <w:r>
        <w:rPr/>
        <w:t xml:space="preserve">محدثيها. وكان كتابة للحديث، ورحل إلى خراسان فتردد بها، واستوطن بخارى ولم يزل مقيما فيها إلى أن توفي (رحمه الله): سنة ثمان وسبعين وثلاث مائة فيما ذكره عبد الرحمن بن عبد الله التاجر.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2026-06-27T10:38:54+03:00</dcterms:created>
  <dcterms:modified xsi:type="dcterms:W3CDTF">2026-06-27T10:38:54+03:00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