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بن عبد الله
</w:t>
      </w:r>
    </w:p>
    <w:p>
      <w:pPr>
        <w:jc w:val="start"/>
        <w:bidi/>
      </w:pPr>
      <w:r>
        <w:rPr>
          <w:rFonts w:ascii="arial" w:hAnsi="arial" w:eastAsia="arial" w:cs="arial"/>
          <w:sz w:val="28"/>
          <w:szCs w:val="28"/>
          <w:b w:val="1"/>
          <w:bCs w:val="1"/>
          <w:rtl/>
        </w:rPr>
        <w:t xml:space="preserve">محمد بن بكر بن عبد الله
</w:t>
      </w:r>
    </w:p>
    <w:p>
      <w:pPr/>
      <w:r>
        <w:rPr/>
        <w:t xml:space="preserve">محمد بن بكر بن عبد الله من أهل قرطبة؛ يكنى: أبا القاسم؛ ويلقب: بالعملة، بالعجمية.</w:t>
      </w:r>
    </w:p>
    <w:p/>
    <w:p>
      <w:pPr/>
      <w:r>
        <w:rPr/>
        <w:t xml:space="preserve">روى عن أبيه، وعن محمد بن وضاح، وإبراهيم بن القزاز، وإبراهيم بن هلال ومطر بن قيس، ومحمد بن يوسف بن مطروح ونظرائهم. وكان أسلم بن عبد العزيز القاضي في ولايته الأولى يشاوره ويعظمه.</w:t>
      </w:r>
    </w:p>
    <w:p/>
    <w:p>
      <w:pPr/>
      <w:r>
        <w:rPr/>
        <w:t xml:space="preserve">وكان: حافظا للفقه، نبيلا في عقد الوثائق، رأسا فيها، وكان ورعا فاضلا وتوفي (رحمه الله): ليلة الاثنين لثلاث عشرة خلت من جمادى الأولى سنة سبع وثلاث مائة. ذكره أحمد.</w:t>
      </w:r>
    </w:p>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2026-06-27T05:06:50+03:00</dcterms:created>
  <dcterms:modified xsi:type="dcterms:W3CDTF">2026-06-27T05:06:50+03:00</dcterms:modified>
</cp:coreProperties>
</file>

<file path=docProps/custom.xml><?xml version="1.0" encoding="utf-8"?>
<Properties xmlns="http://schemas.openxmlformats.org/officeDocument/2006/custom-properties" xmlns:vt="http://schemas.openxmlformats.org/officeDocument/2006/docPropsVTypes"/>
</file>