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بن 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بن حكم
</w:t>
      </w:r>
    </w:p>
    <w:p>
      <w:pPr/>
      <w:r>
        <w:rPr/>
        <w:t xml:space="preserve">محمد بن سعيد بن حكم من أهل بجانة وأصله من قرطبة.</w:t>
      </w:r>
    </w:p>
    <w:p/>
    <w:p>
      <w:pPr/>
      <w:r>
        <w:rPr/>
        <w:t xml:space="preserve">سمع: كتب عبد الملك بن حبيب من ابنه. ورحل فلقى رجال سحنون.</w:t>
      </w:r>
    </w:p>
    <w:p/>
    <w:p>
      <w:pPr/>
      <w:r>
        <w:rPr/>
        <w:t xml:space="preserve">وكان: مفتيا ببجانة. وتوفي: سنة ثلاث وثلاث مائة. من كتاب: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2026-06-27T03:43:51+03:00</dcterms:created>
  <dcterms:modified xsi:type="dcterms:W3CDTF">2026-06-27T03:43:51+03:00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