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سيد بن عمر بن حبيب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سيد بن عمر بن حبيب بن عمير
</w:t>
      </w:r>
    </w:p>
    <w:p>
      <w:pPr/>
      <w:r>
        <w:rPr/>
        <w:t xml:space="preserve">محمد بن أحمد بن سيد بن عمر بن حبيب بن عمير من أهل إشبيلية. أخذ عن محمد بن عبد الله الغازي وغيرهما من العلماء، وكان نحويا، لغويا، شاعرا، مطبوعا توفي: سنة 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سيد بن عمر بن حبيب بن عمير
</w:t>
      </w:r>
    </w:p>
    <w:p>
      <w:pPr/>
      <w:r>
        <w:rPr/>
        <w:t xml:space="preserve">محمد بن أحمد بن سيد بن عمر بن حبيب بن عمير </w:t>
      </w:r>
    </w:p>
    <w:p/>
    <w:p>
      <w:pPr/>
      <w:r>
        <w:rPr/>
        <w:t xml:space="preserve">نحوي، لغوي، شاعر مطبوع. كان بإشبيلية، توفي سنة 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60)/(دار سعد الدين للطباعة والنشر والتوزيع،2000،ط 1،ج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2026-06-27T03:55:38+03:00</dcterms:created>
  <dcterms:modified xsi:type="dcterms:W3CDTF">2026-06-27T03:55:38+03:00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