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
</w:t>
      </w:r>
    </w:p>
    <w:p>
      <w:pPr/>
      <w:r>
        <w:rPr/>
        <w:t xml:space="preserve">محمد بن يوسف من أهل شذونة. وكان صاحبا لإسماعيل بن عمروس، وأصبغ بن منبه في السماع عند الشيوخ.</w:t>
      </w:r>
    </w:p>
    <w:p/>
    <w:p>
      <w:pPr/>
      <w:r>
        <w:rPr/>
        <w:t xml:space="preserve">وكان: صاحب صلاة شذونة: وولي القضاء في أيام الأمير عبد الله على بعض كور الغرب. قاله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2026-06-27T03:42:36+03:00</dcterms:created>
  <dcterms:modified xsi:type="dcterms:W3CDTF">2026-06-27T03:42:36+03:00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