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الأحمر
</w:t>
      </w:r>
    </w:p>
    <w:p>
      <w:pPr>
        <w:jc w:val="start"/>
        <w:bidi/>
      </w:pPr>
      <w:r>
        <w:rPr>
          <w:rFonts w:ascii="arial" w:hAnsi="arial" w:eastAsia="arial" w:cs="arial"/>
          <w:sz w:val="28"/>
          <w:szCs w:val="28"/>
          <w:b w:val="1"/>
          <w:bCs w:val="1"/>
          <w:rtl/>
        </w:rPr>
        <w:t xml:space="preserve">ابن الأحمر
</w:t>
      </w:r>
    </w:p>
    <w:p>
      <w:pPr/>
      <w:r>
        <w:rPr/>
        <w:t xml:space="preserve">ابن الأحمر إسماعيل بن يوسف الخزرجي الأنصاري النصري، أبو الوليد، المعروف بابن الأحمر: مؤرخ أديب. غرناطي الأصل. إقامته ووفاته بفاس. من كتبه (نثر الجمان في شعر من نظمني وإياه الزمان - خ) و (نثير أفراد الجمان في نظم فحول الزمان) من أهل المئة الثامنة، و (مشاهير بيوتات فاس) اختصره أبو زيد الفاسي في كتاب مطبوع، و (حديفة النسرين في أخبار بني مرين) و (البديع في وصف الربيع – خ).</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الحاج: يوسف بن القائم بأمر الله محمد بن نصر الخزرجي
</w:t>
      </w:r>
    </w:p>
    <w:p>
      <w:pPr/>
      <w:r>
        <w:rPr/>
        <w:t xml:space="preserve">إسماعيل بن أبي الحاج: يوسف بن القائم بأمر الله محمد بن نصر الخزرجي. عرف بابن الأحمر، الأمر التاريخي أبو الوليد، شرح على ’’البردة’’ ’’وتأنيس النفوس، في إكمال نقطة العروس’’، ’’ونثر الجمان، فيمن ضمني وإياهم الزمان’’.</w:t>
      </w:r>
      <w:br/>
      <w:r>
        <w:rPr/>
        <w:t xml:space="preserve"> توفي سنة 807.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2026-07-05T13:38:30+03:00</dcterms:created>
  <dcterms:modified xsi:type="dcterms:W3CDTF">2026-07-05T13:38:30+03:00</dcterms:modified>
</cp:coreProperties>
</file>

<file path=docProps/custom.xml><?xml version="1.0" encoding="utf-8"?>
<Properties xmlns="http://schemas.openxmlformats.org/officeDocument/2006/custom-properties" xmlns:vt="http://schemas.openxmlformats.org/officeDocument/2006/docPropsVTypes"/>
</file>