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أشعب بن 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أشعب بن قي
</w:t>
      </w:r>
    </w:p>
    <w:p>
      <w:pPr/>
      <w:r>
        <w:rPr/>
        <w:t xml:space="preserve">محمد بن أشعب بن قي من أهل رية. حج وطلب. وكان: قاضيا دينا، أقام على الصلاة حتى ضعف عنها. فعزل وولى محمد مكانه، ومحمد بن عوف.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2026-06-27T02:35:31+03:00</dcterms:created>
  <dcterms:modified xsi:type="dcterms:W3CDTF">2026-06-27T02:35:31+03:00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