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هلال بن فرقد بن عمر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هلال بن فرقد بن عمر القيسي
</w:t>
      </w:r>
    </w:p>
    <w:p>
      <w:pPr/>
      <w:r>
        <w:rPr/>
        <w:t xml:space="preserve">قاسم بن هلال بن فرقد بن عمر القيسي من أهل قرطبة؛ يكنى: أبا محمد. سمع: من زياد بن عبد الرحمن، ورحل فسمع: من عبد الله ابن وهب، وعبد الرحمن بن القاسم وغير واحد من المدنيين من أصحاب مالك.</w:t>
      </w:r>
    </w:p>
    <w:p/>
    <w:p>
      <w:pPr/>
      <w:r>
        <w:rPr/>
        <w:t xml:space="preserve">وكان: عالما بالمائل، ولم يكن له علم بالحديث. وكان رجلا مغفلا وقورا. حدث عنه بنوه وغيرهم. وتوفي (رحمه الله): سنة إحدى وثلاثين ومائتين. ذكره: احمد. وقال خالد: توفي سنة سبع وثلاثين ومائتين. وكذلك في كتاب: أبي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2026-06-27T00:30:15+03:00</dcterms:created>
  <dcterms:modified xsi:type="dcterms:W3CDTF">2026-06-27T00:30:15+03:00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