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الحضرمي
</w:t>
      </w:r>
    </w:p>
    <w:p>
      <w:pPr>
        <w:jc w:val="start"/>
        <w:bidi/>
      </w:pPr>
      <w:r>
        <w:rPr>
          <w:rFonts w:ascii="arial" w:hAnsi="arial" w:eastAsia="arial" w:cs="arial"/>
          <w:sz w:val="28"/>
          <w:szCs w:val="28"/>
          <w:b w:val="1"/>
          <w:bCs w:val="1"/>
          <w:rtl/>
        </w:rPr>
        <w:t xml:space="preserve">الحضرمي
</w:t>
      </w:r>
    </w:p>
    <w:p>
      <w:pPr/>
      <w:r>
        <w:rPr/>
        <w:t xml:space="preserve">الحضرمي  اسماعيل بن محمد بن علي بن عبد الله بن اسماعيل الحضرمي، قطب الدين: فاضل زاهد، من فقهاء الشافعية. اصله من حضر موت، ومولده وفاته في قرية الضحى (كغنى) من اعمال (المهجم) التابعة لزبيد. ولى قضاء الاقضية في زبيد. وصنف كتبا، منها (عمدة القوى والضعيف الكاشف لما وقع في وسيط الواحدي من التبديل والتحريف - خ) و (شرح المهذب) في فقه الشافعية، و (مختصر مسلم) , (الفتاوي). </w:t>
      </w:r>
    </w:p>
    <w:p>
      <w:pPr>
        <w:jc w:val="start"/>
        <w:bidi/>
      </w:pPr>
      <w:r>
        <w:rPr>
          <w:sz w:val="24"/>
          <w:szCs w:val="24"/>
          <w:b w:val="1"/>
          <w:bCs w:val="1"/>
          <w:rtl/>
        </w:rPr>
        <w:t xml:space="preserve">
الأعلام،(دار العلم للملايين - بيروت،2002،ط 15،ج 1،ص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2026-07-05T12:15:25+03:00</dcterms:created>
  <dcterms:modified xsi:type="dcterms:W3CDTF">2026-07-05T12:15:25+03:00</dcterms:modified>
</cp:coreProperties>
</file>

<file path=docProps/custom.xml><?xml version="1.0" encoding="utf-8"?>
<Properties xmlns="http://schemas.openxmlformats.org/officeDocument/2006/custom-properties" xmlns:vt="http://schemas.openxmlformats.org/officeDocument/2006/docPropsVTypes"/>
</file>