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الجبار بن محمد بن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الجبار بن محمد بن عمران
</w:t>
      </w:r>
    </w:p>
    <w:p>
      <w:pPr/>
      <w:r>
        <w:rPr/>
        <w:t xml:space="preserve">عبد الجبار بن محمد بن عمران من أهل طليطلة. رحل فسمع من سحنون ونظرائه من أهل وقته.</w:t>
      </w:r>
    </w:p>
    <w:p/>
    <w:p>
      <w:pPr/>
      <w:r>
        <w:rPr/>
        <w:t xml:space="preserve">وكان: صاحب رواية كثيرة وعبادة وكان</w:t>
      </w:r>
    </w:p>
    <w:p/>
    <w:p>
      <w:pPr/>
      <w:r>
        <w:rPr/>
        <w:t xml:space="preserve">من أهل الفتيا. من كتاب: ابن حارث.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2026-06-26T16:00:26+03:00</dcterms:created>
  <dcterms:modified xsi:type="dcterms:W3CDTF">2026-06-26T16:00:26+03:00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