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الملك
</w:t>
      </w:r>
    </w:p>
    <w:p>
      <w:pPr/>
      <w:r>
        <w:rPr/>
        <w:t xml:space="preserve">سعيد بن عبد الملك من أهل إشبيلية؛ يكنى أبا عثمان، ويعرف: بابن الملاح.</w:t>
      </w:r>
    </w:p>
    <w:p/>
    <w:p>
      <w:pPr/>
      <w:r>
        <w:rPr/>
        <w:t xml:space="preserve">كان: حافظا للرأي، عاقدا للشروط، مشاورا في الأحكام بموضعه.</w:t>
      </w:r>
    </w:p>
    <w:p/>
    <w:p>
      <w:pPr/>
      <w:r>
        <w:rPr/>
        <w:t xml:space="preserve">وقد حدث. توفي: عقب جمادي الآخرة سنة أربع وسبعين وثلاث مائة ولم يدرك سنا.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2026-06-24T01:36:38+03:00</dcterms:created>
  <dcterms:modified xsi:type="dcterms:W3CDTF">2026-06-24T01:36:38+03:00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