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يحيى بن إبراهيم بن 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يحيى بن إبراهيم بن مزين
</w:t>
      </w:r>
    </w:p>
    <w:p>
      <w:pPr/>
      <w:r>
        <w:rPr/>
        <w:t xml:space="preserve">حسن بن يحيى بن إبراهيم بن مزين من أهل قرطبة.</w:t>
      </w:r>
    </w:p>
    <w:p/>
    <w:p>
      <w:pPr/>
      <w:r>
        <w:rPr/>
        <w:t xml:space="preserve">سمع: من أبيه، وكان عالما بالرأي، فقيها مقدما. توفى (رحمه الله): في صدر أيام الأمير عبد الله بن محمد رحمه الله.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يحيى بن إبراهيم بن مزين
</w:t>
      </w:r>
    </w:p>
    <w:p>
      <w:pPr/>
      <w:r>
        <w:rPr/>
        <w:t xml:space="preserve">الحسن بن يحيى بن إبراهيم بن مزين </w:t>
      </w:r>
    </w:p>
    <w:p/>
    <w:p>
      <w:pPr/>
      <w:r>
        <w:rPr/>
        <w:t xml:space="preserve">قرطبي محدث مات بها قبل الثمانين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2026-06-23T17:22:13+03:00</dcterms:created>
  <dcterms:modified xsi:type="dcterms:W3CDTF">2026-06-23T17:22:13+03:00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