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أمية بن أحمد بن حمزة القرشي الأموي
</w:t>
      </w:r>
    </w:p>
    <w:p>
      <w:pPr>
        <w:jc w:val="start"/>
        <w:bidi/>
      </w:pPr>
      <w:r>
        <w:rPr>
          <w:rFonts w:ascii="arial" w:hAnsi="arial" w:eastAsia="arial" w:cs="arial"/>
          <w:sz w:val="28"/>
          <w:szCs w:val="28"/>
          <w:b w:val="1"/>
          <w:bCs w:val="1"/>
          <w:rtl/>
        </w:rPr>
        <w:t xml:space="preserve">أمية بن أحمد بن حمزة القرشي الأموي
</w:t>
      </w:r>
    </w:p>
    <w:p>
      <w:pPr/>
      <w:r>
        <w:rPr/>
        <w:t xml:space="preserve">أمية بن أحمد بن حمزة القرشي الأموي من أهل قرطبة؛ يكنى: أبا العاص. شاوره محمد بن يبقى بن زرب، وولى أحكام الشرطة. وكان: متأخرا في علمه وعقله.</w:t>
      </w:r>
    </w:p>
    <w:p/>
    <w:p>
      <w:pPr/>
      <w:r>
        <w:rPr/>
        <w:t xml:space="preserve">توفي (رحمه الله): فجأة ليلة الاربعاء لثلاث بقين من شهر ربيع الأول سنة ثلاث وتسعين وثلاث مائة. ودفن يوم الأربعاء صلاة العصر بمقبرة الربض. وصلى عليه القاضي أحمد بن عبد الله. وكانت جنازته مشهورة؛ ومولده سنة خمس وثلاثين وثلاث مائة.</w:t>
      </w:r>
    </w:p>
    <w:p/>
    <w:p>
      <w:pPr>
        <w:jc w:val="start"/>
        <w:bidi/>
      </w:pPr>
      <w:r>
        <w:rPr>
          <w:sz w:val="24"/>
          <w:szCs w:val="24"/>
          <w:b w:val="1"/>
          <w:bCs w:val="1"/>
          <w:rtl/>
        </w:rPr>
        <w:t xml:space="preserve">
تاريخ علماء الأندلس،( مكتبة الخانجي - القاهرة،1988،ط 2،ج 1،ص 101)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2026-06-23T15:04:08+03:00</dcterms:created>
  <dcterms:modified xsi:type="dcterms:W3CDTF">2026-06-23T15:04:08+03:00</dcterms:modified>
</cp:coreProperties>
</file>

<file path=docProps/custom.xml><?xml version="1.0" encoding="utf-8"?>
<Properties xmlns="http://schemas.openxmlformats.org/officeDocument/2006/custom-properties" xmlns:vt="http://schemas.openxmlformats.org/officeDocument/2006/docPropsVTypes"/>
</file>