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صالح بن النضر الأنطاكي الصوفي: يكنى: أبا بكر
</w:t>
      </w:r>
    </w:p>
    <w:p>
      <w:pPr>
        <w:jc w:val="start"/>
        <w:bidi/>
      </w:pPr>
      <w:r>
        <w:rPr>
          <w:rFonts w:ascii="arial" w:hAnsi="arial" w:eastAsia="arial" w:cs="arial"/>
          <w:sz w:val="28"/>
          <w:szCs w:val="28"/>
          <w:b w:val="1"/>
          <w:bCs w:val="1"/>
          <w:rtl/>
        </w:rPr>
        <w:t xml:space="preserve">أحمد بن محمد بن صالح بن النضر الأنطاكي الصوفي: يكنى: أبا بكر
</w:t>
      </w:r>
    </w:p>
    <w:p>
      <w:pPr/>
      <w:r>
        <w:rPr/>
        <w:t xml:space="preserve">أحمد بن محمد بن صالح بن النضر الأنطاكي الصوفي: يكنى: أبا بكر قدم علينا سنة اثنتي وسبعين وثلاث مائة.</w:t>
      </w:r>
    </w:p>
    <w:p/>
    <w:p>
      <w:pPr/>
      <w:r>
        <w:rPr/>
        <w:t xml:space="preserve">وكان: يحدث عن خيثمة بن سليمان الاطرابلسي وغيره. إلا أنه لم يكن معه كتب. إذ كان مذهبه التصوف والسياحة. وقد كتبت عنه من حفظه حكايات. وكتب معنا عند جماعة من شيوخنا. وكان جوالا في البلاد.</w:t>
      </w:r>
    </w:p>
    <w:p/>
    <w:p/>
    <w:p>
      <w:pPr>
        <w:jc w:val="start"/>
        <w:bidi/>
      </w:pPr>
      <w:r>
        <w:rPr>
          <w:sz w:val="24"/>
          <w:szCs w:val="24"/>
          <w:b w:val="1"/>
          <w:bCs w:val="1"/>
          <w:rtl/>
        </w:rPr>
        <w:t xml:space="preserve">
تاريخ علماء الأندلس،( مكتبة الخانجي - القاهرة،1988،ط 2،ج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2026-06-23T12:55:27+03:00</dcterms:created>
  <dcterms:modified xsi:type="dcterms:W3CDTF">2026-06-23T12:55:27+03:00</dcterms:modified>
</cp:coreProperties>
</file>

<file path=docProps/custom.xml><?xml version="1.0" encoding="utf-8"?>
<Properties xmlns="http://schemas.openxmlformats.org/officeDocument/2006/custom-properties" xmlns:vt="http://schemas.openxmlformats.org/officeDocument/2006/docPropsVTypes"/>
</file>