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حكم
</w:t>
      </w:r>
    </w:p>
    <w:p>
      <w:pPr/>
      <w:r>
        <w:rPr/>
        <w:t xml:space="preserve">أحمد بن محمد بن حكم من أهل قرطبة؛ يكنى: أبا عمر.</w:t>
      </w:r>
    </w:p>
    <w:p/>
    <w:p>
      <w:pPr/>
      <w:r>
        <w:rPr/>
        <w:t xml:space="preserve">سمع: من أحمد بن خالد، ومحمد بن أيمن، ومحمد بن قاسم، وقاسم بن أصبغ ونظرائهم. كتبت عنه.</w:t>
      </w:r>
    </w:p>
    <w:p/>
    <w:p>
      <w:pPr/>
      <w:r>
        <w:rPr/>
        <w:t xml:space="preserve">وتوفي (رحمه الله): في شعبان سنة 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2026-06-23T11:29:13+03:00</dcterms:created>
  <dcterms:modified xsi:type="dcterms:W3CDTF">2026-06-23T11:29:13+03:00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