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المسراتي
</w:t>
      </w:r>
    </w:p>
    <w:p>
      <w:pPr>
        <w:jc w:val="start"/>
        <w:bidi/>
      </w:pPr>
      <w:r>
        <w:rPr>
          <w:rFonts w:ascii="arial" w:hAnsi="arial" w:eastAsia="arial" w:cs="arial"/>
          <w:sz w:val="28"/>
          <w:szCs w:val="28"/>
          <w:b w:val="1"/>
          <w:bCs w:val="1"/>
          <w:rtl/>
        </w:rPr>
        <w:t xml:space="preserve">المسراتي
</w:t>
      </w:r>
    </w:p>
    <w:p>
      <w:pPr/>
      <w:r>
        <w:rPr/>
        <w:t xml:space="preserve">المسراتي  أبو الفضل المسراتي الفقيه، من بيت علم قديم بتونس، جده الشيخ محمد بن عمر المسراتي كان إماما بجامع الزيتونة، وهو الذي صلى على الشيخ أحمد بن عروس. ولد بتونس، ومن مشايخه بها أبو يحيى الرصاع. كان عالما بالفقه المالكي والحنفي حتى إنه كان غالبا ما يسأل عن المسألة يقول في الكتاب الفلاني في المحل الفلاني في الورقة الفلانية، سواء كانت في كتب المالكية أو الحنفية.</w:t>
      </w:r>
    </w:p>
    <w:p/>
    <w:p>
      <w:pPr/>
      <w:r>
        <w:rPr/>
        <w:t xml:space="preserve">تولى الفتوى على مذهب مالك، وعزل عنها مرارا، وتوجه إلى الحج فسئل بمصر عن مسألة حار فيها علماء الأزهر، فاستلقى على قفاه، وأجلس كاتبا بإزائه فصار يملي عليه ويكتب فملأ الكاغد جميعه.</w:t>
      </w:r>
    </w:p>
    <w:p/>
    <w:p>
      <w:pPr/>
      <w:r>
        <w:rPr/>
        <w:t xml:space="preserve">تولى المدرسة العنقية سنين إلى أن توفي بها.</w:t>
      </w:r>
    </w:p>
    <w:p/>
    <w:p>
      <w:pPr/>
      <w:r>
        <w:rPr/>
        <w:t xml:space="preserve">من الآخذين عنه الشيخ المفتي محمد بن إبراهيم فتاتة، ومحمد حمودة البوجادي، وعبد العزيز الفراتي الصفاقسي.</w:t>
      </w:r>
    </w:p>
    <w:p/>
    <w:p>
      <w:pPr/>
      <w:r>
        <w:rPr/>
        <w:t xml:space="preserve">له فتاوى عديدة جمعها في مجموع تلميذه محمد فتاتة المذكور الذي كان ربما يفتي منها.</w:t>
      </w:r>
    </w:p>
    <w:p/>
    <w:p>
      <w:pPr/>
      <w:r>
        <w:rPr/>
        <w:t xml:space="preserve">المصادر والمراجع:</w:t>
      </w:r>
    </w:p>
    <w:p/>
    <w:p>
      <w:pPr/>
      <w:r>
        <w:rPr/>
        <w:t xml:space="preserve">- ذيل بشائر أهل الإيمان 186، 187.</w:t>
      </w:r>
    </w:p>
    <w:p/>
    <w:p>
      <w:pPr/>
      <w:r>
        <w:rPr/>
        <w:t xml:space="preserve">- شجرة النور الزكية 306.</w:t>
      </w:r>
    </w:p>
    <w:p>
      <w:pPr>
        <w:jc w:val="start"/>
        <w:bidi/>
      </w:pPr>
      <w:r>
        <w:rPr>
          <w:sz w:val="24"/>
          <w:szCs w:val="24"/>
          <w:b w:val="1"/>
          <w:bCs w:val="1"/>
          <w:rtl/>
        </w:rPr>
        <w:t xml:space="preserve">
تراجم المؤلفين التونسيين،(دار الغرب الإسلامي، بيروت - لبنان،1994،ط 2،ج 4،ص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2026-06-21T19:34:00+03:00</dcterms:created>
  <dcterms:modified xsi:type="dcterms:W3CDTF">2026-06-21T19:34:00+03:00</dcterms:modified>
</cp:coreProperties>
</file>

<file path=docProps/custom.xml><?xml version="1.0" encoding="utf-8"?>
<Properties xmlns="http://schemas.openxmlformats.org/officeDocument/2006/custom-properties" xmlns:vt="http://schemas.openxmlformats.org/officeDocument/2006/docPropsVTypes"/>
</file>