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اللطيف
</w:t>
      </w:r>
    </w:p>
    <w:p>
      <w:pPr>
        <w:jc w:val="start"/>
        <w:bidi/>
      </w:pPr>
      <w:r>
        <w:rPr>
          <w:rFonts w:ascii="arial" w:hAnsi="arial" w:eastAsia="arial" w:cs="arial"/>
          <w:sz w:val="28"/>
          <w:szCs w:val="28"/>
          <w:b w:val="1"/>
          <w:bCs w:val="1"/>
          <w:rtl/>
        </w:rPr>
        <w:t xml:space="preserve">اللطيف
</w:t>
      </w:r>
    </w:p>
    <w:p>
      <w:pPr/>
      <w:r>
        <w:rPr/>
        <w:t xml:space="preserve">اللطيف  أحمد بن طاهر اللطيف (بالتصغير) أبو العباس، الفقيه المحقق، أصله من القلعة الصغرى بالساحل، قدم إلى تونس، وأخذ عن أعلام جامع الزيتونة كالمشايخ إبراهيم الرياحي، وحسن الشريف، ومحمد الطاهر بن مسعود، وبعد تخرجه استقر بتونس، وباشر خطة الإشهاد، ثم ولي قضاء المحلة 1254/ 1838 ثم عزل عن القضاء فلزم بيته، واختص به في هاته المدة الشيخ عمر بن الشيخ وممن أخذ عنه الشيخ سالم بو حاجب.</w:t>
      </w:r>
    </w:p>
    <w:p/>
    <w:p>
      <w:pPr/>
      <w:r>
        <w:rPr/>
        <w:t xml:space="preserve">توفي بتونس في ذي الحجة.</w:t>
      </w:r>
    </w:p>
    <w:p/>
    <w:p>
      <w:pPr/>
      <w:r>
        <w:rPr/>
        <w:t xml:space="preserve">نسخ كثيرا من الكتب الفقهية كالفائق لابن راشد، والبيان والتحصيل لابن رشد. استمد غالب مؤلفاته من مكتبة الشيخ أحمد ابن الشيخ محمد الغرياني، وهاته المكتبة جمعت كثيرا من النفائس والنوادر.</w:t>
      </w:r>
    </w:p>
    <w:p/>
    <w:p>
      <w:pPr/>
      <w:r>
        <w:rPr/>
        <w:t xml:space="preserve">مؤلفاته:</w:t>
      </w:r>
    </w:p>
    <w:p/>
    <w:p>
      <w:pPr/>
      <w:r>
        <w:rPr/>
        <w:t xml:space="preserve">1 - حاشيته على شرح التاودي لتحفة ابن عاصم، في جزءين، أكثر فيها من النقل، ولم يعتن فيها بعبارات الشارح، توجد منها نسخة بخطه في المكتبة الوطنية بتونس.</w:t>
      </w:r>
    </w:p>
    <w:p/>
    <w:p>
      <w:pPr/>
      <w:r>
        <w:rPr/>
        <w:t xml:space="preserve">2 - رسائل كثيرة.</w:t>
      </w:r>
    </w:p>
    <w:p/>
    <w:p>
      <w:pPr/>
      <w:r>
        <w:rPr/>
        <w:t xml:space="preserve">3 - - كناش، جمع فيه فروعا من نوادر الفقه.</w:t>
      </w:r>
    </w:p>
    <w:p/>
    <w:p>
      <w:pPr/>
      <w:r>
        <w:rPr/>
        <w:t xml:space="preserve">المراجع:</w:t>
      </w:r>
    </w:p>
    <w:p/>
    <w:p>
      <w:pPr/>
      <w:r>
        <w:rPr/>
        <w:t xml:space="preserve">- إتحاف أهل الزمان 4/ 18 آخر الصفحة.</w:t>
      </w:r>
    </w:p>
    <w:p/>
    <w:p>
      <w:pPr/>
      <w:r>
        <w:rPr/>
        <w:t xml:space="preserve">- شجرة النور الزكية 389، 390.</w:t>
      </w:r>
    </w:p>
    <w:p>
      <w:pPr>
        <w:jc w:val="start"/>
        <w:bidi/>
      </w:pPr>
      <w:r>
        <w:rPr>
          <w:sz w:val="24"/>
          <w:szCs w:val="24"/>
          <w:b w:val="1"/>
          <w:bCs w:val="1"/>
          <w:rtl/>
        </w:rPr>
        <w:t xml:space="preserve">
تراجم المؤلفين التونسيين،(دار الغرب الإسلامي، بيروت - لبنان،1994،ط 2،ج 4،ص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2026-06-21T16:59:28+03:00</dcterms:created>
  <dcterms:modified xsi:type="dcterms:W3CDTF">2026-06-21T16:59:28+03:00</dcterms:modified>
</cp:coreProperties>
</file>

<file path=docProps/custom.xml><?xml version="1.0" encoding="utf-8"?>
<Properties xmlns="http://schemas.openxmlformats.org/officeDocument/2006/custom-properties" xmlns:vt="http://schemas.openxmlformats.org/officeDocument/2006/docPropsVTypes"/>
</file>