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أباظة
</w:t>
      </w:r>
    </w:p>
    <w:p>
      <w:pPr>
        <w:jc w:val="start"/>
        <w:bidi/>
      </w:pPr>
      <w:r>
        <w:rPr>
          <w:rFonts w:ascii="arial" w:hAnsi="arial" w:eastAsia="arial" w:cs="arial"/>
          <w:sz w:val="28"/>
          <w:szCs w:val="28"/>
          <w:b w:val="1"/>
          <w:bCs w:val="1"/>
          <w:rtl/>
        </w:rPr>
        <w:t xml:space="preserve">إسماعيل أباظة
</w:t>
      </w:r>
    </w:p>
    <w:p>
      <w:pPr/>
      <w:r>
        <w:rPr/>
        <w:t xml:space="preserve">إسماعيل أباظة  إسماعيل أباظة ’’ باشا’’: عميد الأسرة الأباظية في أيامه، بمصر. عمل في الحركة الوطنية وكان في أول وفد مصري لمفاوضة الإنكليز (1908) وأثار الحملة على امتياز قناة السوس (1910) وأصدر جريدة ’’ الأهالي’’ واستخرج منها رسالة في تراجم بعض معاصريه سماها ’’ مقدمة أساس التاريخ العصري لمشاهير القطر المصري - ط) وتوفي بالقاهرة. ولمصطفى الشهابي (؟) كتاب ’’ إسماعيل أباظة باشا’’ في سيرته، طبع بمصر سنة 1967م. </w:t>
      </w:r>
    </w:p>
    <w:p>
      <w:pPr>
        <w:jc w:val="start"/>
        <w:bidi/>
      </w:pPr>
      <w:r>
        <w:rPr>
          <w:sz w:val="24"/>
          <w:szCs w:val="24"/>
          <w:b w:val="1"/>
          <w:bCs w:val="1"/>
          <w:rtl/>
        </w:rPr>
        <w:t xml:space="preserve">
الأعلام،(دار العلم للملايين - بيروت،2002،ط 15،ج 1،ص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2026-07-05T08:09:11+03:00</dcterms:created>
  <dcterms:modified xsi:type="dcterms:W3CDTF">2026-07-05T08:09:11+03:00</dcterms:modified>
</cp:coreProperties>
</file>

<file path=docProps/custom.xml><?xml version="1.0" encoding="utf-8"?>
<Properties xmlns="http://schemas.openxmlformats.org/officeDocument/2006/custom-properties" xmlns:vt="http://schemas.openxmlformats.org/officeDocument/2006/docPropsVTypes"/>
</file>