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علوان
</w:t>
      </w:r>
    </w:p>
    <w:p>
      <w:pPr>
        <w:jc w:val="start"/>
        <w:bidi/>
      </w:pPr>
      <w:r>
        <w:rPr>
          <w:rFonts w:ascii="arial" w:hAnsi="arial" w:eastAsia="arial" w:cs="arial"/>
          <w:sz w:val="28"/>
          <w:szCs w:val="28"/>
          <w:b w:val="1"/>
          <w:bCs w:val="1"/>
          <w:rtl/>
        </w:rPr>
        <w:t xml:space="preserve">ابن علوان
</w:t>
      </w:r>
    </w:p>
    <w:p>
      <w:pPr/>
      <w:r>
        <w:rPr/>
        <w:t xml:space="preserve">ابن علوان  عمر بن محمد بن علوان الهذلي التونسي، أبو علي، الفقيه. ممن أخذ عنه عبد الله بن محمد التجاني صاحب «الرحلة».له تأليف في موجبات أحكام مغيب الحشفة.</w:t>
      </w:r>
    </w:p>
    <w:p/>
    <w:p>
      <w:pPr/>
      <w:r>
        <w:rPr/>
        <w:t xml:space="preserve">قال تلميذه التجاني: «وكان شيخنا الإمام أبو علي عمر بن محمد الهذلي - رحمه الله تعالى - قد ألف في ذلك تأليفا تهاداه الناس، واستغربوه، جمع فيه ما قاله غيره، واستدرك أحكاما كثيرة، استخرجها بكثرة اطلاعه، وقوة استطلاعه، وتبحره في العلوم واتساعه، وكان يزعم أنه لا يكاد حكم يشذ عن كتابه وكنت حين قرأت عليه التأليف في شهر ذي القعدة سنة اثنتين وسبعمائة رأيته قد أهمل أحكاما كثيرة حملني سن الحداثة إذ ذاك، وحب الظهور على أن وضعت فيها جزءا انتهت الأحكام المستدركة فيه إلى خمسين حكما واتسعت في ذكر الخلاف، وبسط التعليل، فجاء تأليفا تاما أيضا مستقلا، ووقفته عليه فعظمه غاية التعظيم، وتلا قوله سبحانه وتعالى </w:t>
      </w:r>
    </w:p>
    <w:p>
      <w:pPr/>
      <w:r>
        <w:rPr>
          <w:color w:val="0000ff"/>
        </w:rPr>
        <w:t xml:space="preserve">{وفوق كل ذي علم عليم}</w:t>
      </w:r>
    </w:p>
    <w:p>
      <w:pPr/>
      <w:r>
        <w:rPr/>
        <w:t xml:space="preserve"> وكانت وفاة شيخنا المذكور في الرابع لشعبان سنة عشر وسبعمائة ».</w:t>
      </w:r>
    </w:p>
    <w:p/>
    <w:p>
      <w:pPr/>
      <w:r>
        <w:rPr/>
        <w:t xml:space="preserve">المصادر والمراجع:</w:t>
      </w:r>
    </w:p>
    <w:p/>
    <w:p>
      <w:pPr/>
      <w:r>
        <w:rPr/>
        <w:t xml:space="preserve">- تاريخ الدولتين 49، الحلل السندسية 3/ 676/1 - 7، شجرة النور الزكية 205، معجم المؤلفين 7/ 314، نيل الابتهاج 194 - 5، هدية العارفين 1/ 788.</w:t>
      </w:r>
    </w:p>
    <w:p>
      <w:pPr>
        <w:jc w:val="start"/>
        <w:bidi/>
      </w:pPr>
      <w:r>
        <w:rPr>
          <w:sz w:val="24"/>
          <w:szCs w:val="24"/>
          <w:b w:val="1"/>
          <w:bCs w:val="1"/>
          <w:rtl/>
        </w:rPr>
        <w:t xml:space="preserve">
تراجم المؤلفين التونسيين،(دار الغرب الإسلامي، بيروت - لبنان،1994،ط 2،ج 3،ص 415)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2026-06-15T13:59:29+03:00</dcterms:created>
  <dcterms:modified xsi:type="dcterms:W3CDTF">2026-06-15T13:59:29+03:00</dcterms:modified>
</cp:coreProperties>
</file>

<file path=docProps/custom.xml><?xml version="1.0" encoding="utf-8"?>
<Properties xmlns="http://schemas.openxmlformats.org/officeDocument/2006/custom-properties" xmlns:vt="http://schemas.openxmlformats.org/officeDocument/2006/docPropsVTypes"/>
</file>