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الشرفي
</w:t>
      </w:r>
    </w:p>
    <w:p>
      <w:pPr/>
      <w:r>
        <w:rPr/>
        <w:t xml:space="preserve">الشرفي  أحمد بن عبد العزيز الشرفي الصفاقسي الأزهري، نزيل القاهرة، فقيه، حاسب، فلكي من تلامذته علي بن موسى السوسي الأزهري. ومحمد ابن المؤدب محمد الشرفي.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فتح البرية لحل ألفاظ النمسة النفحية المتضمنة لرسالة الفتحية.</w:t>
      </w:r>
    </w:p>
    <w:p/>
    <w:p>
      <w:pPr/>
      <w:r>
        <w:rPr/>
        <w:t xml:space="preserve">2) تذكرة الاخوان في الرد على من قال بحلية الدخان، فرغ من تأليفها في شعبان 1080، أولها الحمد لله الذي خلق السماوات والأرض وما بينهما.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1/ 272، 2/ 464، معجم المؤلفين 1/ 276.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2026-06-15T14:29:12+03:00</dcterms:created>
  <dcterms:modified xsi:type="dcterms:W3CDTF">2026-06-15T14:29:12+03:00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