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شبلون
</w:t>
      </w:r>
    </w:p>
    <w:p>
      <w:pPr/>
      <w:r>
        <w:rPr/>
        <w:t xml:space="preserve">ابن شبلون عبد الخالق بن خلف بن سعيد بن شبلون القيرواني، أبو القاسم، الفقيه.</w:t>
      </w:r>
    </w:p>
    <w:p/>
    <w:p>
      <w:pPr/>
      <w:r>
        <w:rPr/>
        <w:t xml:space="preserve">تفقه بابن أخي هشام، وسمع من ابن مسرور الحجام.</w:t>
      </w:r>
    </w:p>
    <w:p/>
    <w:p>
      <w:pPr/>
      <w:r>
        <w:rPr/>
        <w:t xml:space="preserve">وكان الاعتماد عليه بالقيروان في الفتوى والتدريس بعد ابن أبي زيد، وكان يفتي في اللازمة بطلقة واحدة.</w:t>
      </w:r>
    </w:p>
    <w:p/>
    <w:p>
      <w:pPr/>
      <w:r>
        <w:rPr/>
        <w:t xml:space="preserve">توفي في 17 ربيع الأول كما هو منقوش على قبره الموافق 26 فيفرى.</w:t>
      </w:r>
    </w:p>
    <w:p/>
    <w:p>
      <w:pPr/>
      <w:r>
        <w:rPr/>
        <w:t xml:space="preserve">له كتاب المقصد في 40 جزءا، وهو فيه يتابع المدونة حرفيا ويختلف في كثير من المسائل مع ابن أبي زيد، وهذا الكتاب مفقود.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ترتيب المدارك 4/ 528، الديباج 158، شجرة النور الزكية 197، طبقات الفقهاء للشيرازي 160 - 61، معالم الإيمان (ط 2/) 123 - 25، معجم المؤلفين 10/ 77.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2026-06-15T14:30:13+03:00</dcterms:created>
  <dcterms:modified xsi:type="dcterms:W3CDTF">2026-06-15T14:30:13+03:00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