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الفارسي
</w:t>
      </w:r>
    </w:p>
    <w:p>
      <w:pPr>
        <w:jc w:val="start"/>
        <w:bidi/>
      </w:pPr>
      <w:r>
        <w:rPr>
          <w:rFonts w:ascii="arial" w:hAnsi="arial" w:eastAsia="arial" w:cs="arial"/>
          <w:sz w:val="28"/>
          <w:szCs w:val="28"/>
          <w:b w:val="1"/>
          <w:bCs w:val="1"/>
          <w:rtl/>
        </w:rPr>
        <w:t xml:space="preserve">ابن زياد الفارسي
</w:t>
      </w:r>
    </w:p>
    <w:p>
      <w:pPr/>
      <w:r>
        <w:rPr/>
        <w:t xml:space="preserve">ابن زياد الفارسي  محمد بن أحمد بن زياد الفارسي، القيرواني، أبو جعفر، الفقيه، البليغ القلم، ومذهبه المناظرة ولا يرى التقليد.</w:t>
      </w:r>
    </w:p>
    <w:p/>
    <w:p>
      <w:pPr/>
      <w:r>
        <w:rPr/>
        <w:t xml:space="preserve">سمع من محمد بن عبدوس، ومن محمد بن يحيى بن سلام تفسير القرآن لجده يحيى بن سلام، ومن ابن تميم القفصي كتاب أنس بن عياض. وسمع منه ربيع القطان، وأبو العرب التميمي، ومحمد بن الحارث الخشني، وهبة الله بن عقبة وغيرهم.</w:t>
      </w:r>
    </w:p>
    <w:p/>
    <w:p>
      <w:pPr/>
      <w:r>
        <w:rPr/>
        <w:t xml:space="preserve">وكان من ذوي الجاه، وله ثروة، ثم امتحن في آخر عمره بمغارم عبيد الله المهدي على أهل الضياع وافتقر بعد غنى، وهذا يدل على السياسة الضرائبية المجحفة عند العبيديين، وجمع الأموال من الرعية بعناوين ظالمة حتى يفتقر من كان غنيا، ولما افتقر بعد غناه لجأ بنفسه إلى محمد بن أحمد البغدادي متوسلا به إلى عبيد الله المهدي يسأله التخفيف بأي وجه رآه، وهش البغدادي إلى حاجته وقال له: إن هذه المغارم لم يفتح السلطان قط فيها بابا من التخفيف لولد من أولاده ولا لقائد من قواده، ولكن نسأله لك صلة تستعين بها على دهرك، فكم تحب أن نسأله لك من مال؟ وبعد محاورة مع البغدادي، وإجراءات ترتيبية مع عبيد الله المهدي منح ستين مثقالا.</w:t>
      </w:r>
    </w:p>
    <w:p/>
    <w:p>
      <w:pPr/>
      <w:r>
        <w:rPr/>
        <w:t xml:space="preserve">مؤلفاته:</w:t>
      </w:r>
    </w:p>
    <w:p/>
    <w:p>
      <w:pPr/>
      <w:r>
        <w:rPr/>
        <w:t xml:space="preserve">1) كتاب في أحكام القرآن، في عشرة أجزاء.</w:t>
      </w:r>
    </w:p>
    <w:p/>
    <w:p>
      <w:pPr/>
      <w:r>
        <w:rPr/>
        <w:t xml:space="preserve">2) كتاب الوثائق والشروط، في عشرة أجزاء.</w:t>
      </w:r>
    </w:p>
    <w:p/>
    <w:p>
      <w:pPr/>
      <w:r>
        <w:rPr/>
        <w:t xml:space="preserve">المصادر والمراجع:</w:t>
      </w:r>
    </w:p>
    <w:p/>
    <w:p>
      <w:pPr/>
      <w:r>
        <w:rPr/>
        <w:t xml:space="preserve">- البيان المغرب لابن عذاري (دار الثقافة، بيروت) 1/ 204.</w:t>
      </w:r>
    </w:p>
    <w:p/>
    <w:p>
      <w:pPr/>
      <w:r>
        <w:rPr/>
        <w:t xml:space="preserve">- الديباج 37.</w:t>
      </w:r>
    </w:p>
    <w:p/>
    <w:p>
      <w:pPr/>
      <w:r>
        <w:rPr/>
        <w:t xml:space="preserve">- شجرة النور الزكية 81.</w:t>
      </w:r>
    </w:p>
    <w:p/>
    <w:p>
      <w:pPr/>
      <w:r>
        <w:rPr/>
        <w:t xml:space="preserve">- طبقات علماء افريقية للخشني (مصر) 221 - 223.</w:t>
      </w:r>
    </w:p>
    <w:p>
      <w:pPr>
        <w:jc w:val="start"/>
        <w:bidi/>
      </w:pPr>
      <w:r>
        <w:rPr>
          <w:sz w:val="24"/>
          <w:szCs w:val="24"/>
          <w:b w:val="1"/>
          <w:bCs w:val="1"/>
          <w:rtl/>
        </w:rPr>
        <w:t xml:space="preserve">
تراجم المؤلفين التونسيين،(دار الغرب الإسلامي، بيروت - لبنان،1994،ط 2،ج 2،ص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2026-06-13T21:03:13+03:00</dcterms:created>
  <dcterms:modified xsi:type="dcterms:W3CDTF">2026-06-13T21:03:13+03:00</dcterms:modified>
</cp:coreProperties>
</file>

<file path=docProps/custom.xml><?xml version="1.0" encoding="utf-8"?>
<Properties xmlns="http://schemas.openxmlformats.org/officeDocument/2006/custom-properties" xmlns:vt="http://schemas.openxmlformats.org/officeDocument/2006/docPropsVTypes"/>
</file>