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الحسين
</w:t>
      </w:r>
    </w:p>
    <w:p>
      <w:pPr>
        <w:jc w:val="start"/>
        <w:bidi/>
      </w:pPr>
      <w:r>
        <w:rPr>
          <w:rFonts w:ascii="arial" w:hAnsi="arial" w:eastAsia="arial" w:cs="arial"/>
          <w:sz w:val="28"/>
          <w:szCs w:val="28"/>
          <w:b w:val="1"/>
          <w:bCs w:val="1"/>
          <w:rtl/>
        </w:rPr>
        <w:t xml:space="preserve">ابن الحسين
</w:t>
      </w:r>
    </w:p>
    <w:p>
      <w:pPr/>
      <w:r>
        <w:rPr/>
        <w:t xml:space="preserve">ابن الحسين  محمد المكي بن الحسين بن علي بن عمر، شقيق الشيخ محمد الخضر حسين والشيخ زين العابدين، باحث لغوي، أديب شاعر.</w:t>
      </w:r>
    </w:p>
    <w:p/>
    <w:p>
      <w:pPr/>
      <w:r>
        <w:rPr/>
        <w:t xml:space="preserve">ولد ببلدة نفطة، وفي عام 1306/ 1893 ارتحل والده وأسرته إلى مدينة تونس العاصمة، وبها حفظ القرآن، وتلقى مبادئ العلوم، ثم دخل جامع الزيتونة وأخذ عن أعلامه إلى أن تخرج منه محرزا على شهادة التطويع.</w:t>
      </w:r>
    </w:p>
    <w:p/>
    <w:p>
      <w:pPr/>
      <w:r>
        <w:rPr/>
        <w:t xml:space="preserve">وفي عام 1330/ 1912 هاجر مع أسرته إلى دمشق حيث باشر التعليم بمدارسها الابتدائية، وتعرف باعلام دمشق كخير الدين الزركلي، وسليم الجندي، والشيخ عبد القادر المغربي، ومحمد مبارك الجزائري، ومحمد كرد علي رئيس المجمع العلمي العربي.</w:t>
      </w:r>
    </w:p>
    <w:p/>
    <w:p>
      <w:pPr/>
      <w:r>
        <w:rPr/>
        <w:t xml:space="preserve">وفي سنة 1338/ 1920 رجع إلى تونس، وتفرغ للمطالعة والبحث، وهو مغرم بالأبحاث الفنية الدقيقة في اللغة وعادات العرب في الجاهلية، ونشر بعض هذه البحوث في الصحف والمجلات، درس قاموس الفيروزآبادي دراسة متأنية دقيقة، واستخرج منه ما يوافق اتجاهه في البحث عن العادات عند عرب الجاهلية وأدواتهم.</w:t>
      </w:r>
    </w:p>
    <w:p/>
    <w:p>
      <w:pPr/>
      <w:r>
        <w:rPr/>
        <w:t xml:space="preserve">مؤلفاته:</w:t>
      </w:r>
    </w:p>
    <w:p/>
    <w:p>
      <w:pPr/>
      <w:r>
        <w:rPr/>
        <w:t xml:space="preserve">1) الأسماء اللغوية للبحر، أدب، أمثال حربية، مط الشريف، تونس 1378/ 1958، 16 ص.</w:t>
      </w:r>
    </w:p>
    <w:p/>
    <w:p>
      <w:pPr/>
      <w:r>
        <w:rPr/>
        <w:t xml:space="preserve">2) أسماء الكعبة المشرفة، مط التليلي تونس 1368/ 1949، 22 ص.</w:t>
      </w:r>
    </w:p>
    <w:p/>
    <w:p>
      <w:pPr/>
      <w:r>
        <w:rPr/>
        <w:t xml:space="preserve">المرجع:</w:t>
      </w:r>
    </w:p>
    <w:p/>
    <w:p>
      <w:pPr/>
      <w:r>
        <w:rPr/>
        <w:t xml:space="preserve">- الأدب التونسي في القرن الرابع عشر 1/ 193 - 201.</w:t>
      </w:r>
    </w:p>
    <w:p>
      <w:pPr>
        <w:jc w:val="start"/>
        <w:bidi/>
      </w:pPr>
      <w:r>
        <w:rPr>
          <w:sz w:val="24"/>
          <w:szCs w:val="24"/>
          <w:b w:val="1"/>
          <w:bCs w:val="1"/>
          <w:rtl/>
        </w:rPr>
        <w:t xml:space="preserve">
تراجم المؤلفين التونسيين،(دار الغرب الإسلامي، بيروت - لبنان،1994،ط 2،ج 2،ص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2026-06-10T13:02:36+03:00</dcterms:created>
  <dcterms:modified xsi:type="dcterms:W3CDTF">2026-06-10T13:02:36+03:00</dcterms:modified>
</cp:coreProperties>
</file>

<file path=docProps/custom.xml><?xml version="1.0" encoding="utf-8"?>
<Properties xmlns="http://schemas.openxmlformats.org/officeDocument/2006/custom-properties" xmlns:vt="http://schemas.openxmlformats.org/officeDocument/2006/docPropsVTypes"/>
</file>