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w:t>
      </w:r>
    </w:p>
    <w:p>
      <w:pPr>
        <w:jc w:val="start"/>
        <w:bidi/>
      </w:pPr>
      <w:r>
        <w:rPr>
          <w:rFonts w:ascii="arial" w:hAnsi="arial" w:eastAsia="arial" w:cs="arial"/>
          <w:sz w:val="28"/>
          <w:szCs w:val="28"/>
          <w:b w:val="1"/>
          <w:bCs w:val="1"/>
          <w:rtl/>
        </w:rPr>
        <w:t xml:space="preserve">جمال الدين
</w:t>
      </w:r>
    </w:p>
    <w:p>
      <w:pPr/>
      <w:r>
        <w:rPr/>
        <w:t xml:space="preserve">جمال الدين  أحمد جمال الدين، فقيه.</w:t>
      </w:r>
    </w:p>
    <w:p/>
    <w:p>
      <w:pPr/>
      <w:r>
        <w:rPr/>
        <w:t xml:space="preserve">ولد ببني خيار، وتلقى العلم بجامع الزيتونة، وتولى التدريس به، وكان من المقربين لدى القصر الملكي والسلط الاستعمارية، وله مواقف مشبوهة تنم عن ضعف في العقيدة الوطنية، وانصياع لمآرب السلط الاستعمارية، كموقفه من حل اضراب الركوب في الترمفاي على اثر حادثة مقبرة الزلاج سنة 1911 إذ كان أول المستجيبين لحل الاضراب.</w:t>
      </w:r>
    </w:p>
    <w:p/>
    <w:p>
      <w:pPr/>
      <w:r>
        <w:rPr/>
        <w:t xml:space="preserve">وكان قادري الطريقة، متشبعا بالخرافات، عاملا على ترويجها بقلمه كما تراه في كتابه «بلوغ الأرب»، وهو من أقطاب المتزعمين لحركة مقاومة آراء جمال الدين الافعالي، ومحمد عبده، ورشيد رضا، وللأخير معه جولات في مجلة «المنار» من أجل مسألة التوسل، ومن المعروف أن رشيد رضا من أنصار الشيخ محمد بن عبد الوهاب في مسألة التوسل وغيرها، ولذلك قام المترجم بنشر مقالة الشيخ عمر المحجوب في الرد على محمد بن عبد الوهاب، ووصفه الشيخ رشيد رضا بأنه أكثف جهالة من الشيخ المحجوب.</w:t>
      </w:r>
    </w:p>
    <w:p/>
    <w:p>
      <w:pPr/>
      <w:r>
        <w:rPr/>
        <w:t xml:space="preserve">وفي سنة 1302/ 1888 أمره علي باشا باي الثالث بحمل الصرة إلى الحرمين الشريفين وأهدى بتلك المناسبة كتابه «التعريف بأصول التكليف» للشريف عون الرفيق شريف مكة، وللشيخ عمر التميمي من سادة البيت الحرام.</w:t>
      </w:r>
    </w:p>
    <w:p/>
    <w:p>
      <w:pPr/>
      <w:r>
        <w:rPr/>
        <w:t xml:space="preserve">مؤلفاته:</w:t>
      </w:r>
    </w:p>
    <w:p/>
    <w:p>
      <w:pPr/>
      <w:r>
        <w:rPr/>
        <w:t xml:space="preserve">1) بلوغ الأرب في مآثر الشيخ الذهب وهو من بني خيار وشيخه في الطريقة</w:t>
      </w:r>
    </w:p>
    <w:p/>
    <w:p>
      <w:pPr/>
      <w:r>
        <w:rPr/>
        <w:t xml:space="preserve">قال الشيخ رشيد رضا «هذا الكتاب محشو بالخرافات والدجل» مجلة «المنار» ج 10 ص 173، وهو في جزءين، ط بتونس 1322/ 1904.</w:t>
      </w:r>
    </w:p>
    <w:p/>
    <w:p>
      <w:pPr/>
      <w:r>
        <w:rPr/>
        <w:t xml:space="preserve">2) السراج في معرفة صاحب التاج، رسالة وجيزة في بيان حديث المعراج، ألفها لتقرأ بحضرة أمير تونس علي باشا الثالث سنة 1302/ 1888 بمسجده بقصر المرسى، تونس مط بيكار سنة 1318/ 1901 في 26 ص.</w:t>
      </w:r>
    </w:p>
    <w:p/>
    <w:p>
      <w:pPr/>
      <w:r>
        <w:rPr/>
        <w:t xml:space="preserve">3) مختصر مولد البرزنجي، فرغ منه في 17 جمادى الأولى سنة 1302/ 1888 ط، تونس 1302/ 1888.نسب له بعضهم كتاب مناهج التعريف بأصول التكليف وهو لمخدومه علي باشا.</w:t>
      </w:r>
    </w:p>
    <w:p/>
    <w:p>
      <w:pPr/>
      <w:r>
        <w:rPr/>
        <w:t xml:space="preserve">المراجع:</w:t>
      </w:r>
    </w:p>
    <w:p/>
    <w:p>
      <w:pPr/>
      <w:r>
        <w:rPr/>
        <w:t xml:space="preserve">- برنامج المكتبة العبدلية 2/ 248.</w:t>
      </w:r>
    </w:p>
    <w:p/>
    <w:p>
      <w:pPr/>
      <w:r>
        <w:rPr/>
        <w:t xml:space="preserve">- معجم المطبوعات 381، 649.</w:t>
      </w:r>
    </w:p>
    <w:p/>
    <w:p>
      <w:pPr/>
      <w:r>
        <w:rPr/>
        <w:t xml:space="preserve">- معجم المؤلفين 1/ 184، (نقلا عن فهرست الخديوية 1/ 415).</w:t>
      </w:r>
    </w:p>
    <w:p/>
    <w:p>
      <w:pPr/>
      <w:r>
        <w:rPr/>
        <w:t xml:space="preserve">- معركة الزلاج للجيلاني بن الحاج يحيى ومحمد المرزوقي ص 186 (تعليق)، محمد بن الخوجة.</w:t>
      </w:r>
    </w:p>
    <w:p/>
    <w:p>
      <w:pPr/>
      <w:r>
        <w:rPr/>
        <w:t xml:space="preserve">- الصرة كيف نشأت وكيف استقر قرارها المجلة الزيتونية. ذو القعدة 1355 جانفي 1937 ج 5 م 1 ص 247.</w:t>
      </w:r>
    </w:p>
    <w:p>
      <w:pPr>
        <w:jc w:val="start"/>
        <w:bidi/>
      </w:pPr>
      <w:r>
        <w:rPr>
          <w:sz w:val="24"/>
          <w:szCs w:val="24"/>
          <w:b w:val="1"/>
          <w:bCs w:val="1"/>
          <w:rtl/>
        </w:rPr>
        <w:t xml:space="preserve">
تراجم المؤلفين التونسيين،(دار الغرب الإسلامي، بيروت - لبنان،1994،ط 2،ج 2،ص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2026-06-13T19:09:37+03:00</dcterms:created>
  <dcterms:modified xsi:type="dcterms:W3CDTF">2026-06-13T19:09:37+03:00</dcterms:modified>
</cp:coreProperties>
</file>

<file path=docProps/custom.xml><?xml version="1.0" encoding="utf-8"?>
<Properties xmlns="http://schemas.openxmlformats.org/officeDocument/2006/custom-properties" xmlns:vt="http://schemas.openxmlformats.org/officeDocument/2006/docPropsVTypes"/>
</file>