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جماعة
</w:t>
      </w:r>
    </w:p>
    <w:p>
      <w:pPr>
        <w:jc w:val="start"/>
        <w:bidi/>
      </w:pPr>
      <w:r>
        <w:rPr>
          <w:rFonts w:ascii="arial" w:hAnsi="arial" w:eastAsia="arial" w:cs="arial"/>
          <w:sz w:val="28"/>
          <w:szCs w:val="28"/>
          <w:b w:val="1"/>
          <w:bCs w:val="1"/>
          <w:rtl/>
        </w:rPr>
        <w:t xml:space="preserve">ابن جماعة
</w:t>
      </w:r>
    </w:p>
    <w:p>
      <w:pPr/>
      <w:r>
        <w:rPr/>
        <w:t xml:space="preserve">ابن جماعة  أبو بكر، أبو يحيى بن أبي القاسم بن جناعة الهواري التونسي، الفقيه المحقق. أخذ بتونس عن ابن واصل، وغيره، ورحل إلى المشرق فأخذ عن أيمة اعلام منهم ابن دقيق العيد، وغيره، حج مع الشيخ أبي الحسن المنتصر، وأخذ عنه القاضي محمد بن عبد السلام، وغيره.</w:t>
      </w:r>
    </w:p>
    <w:p/>
    <w:p>
      <w:pPr/>
      <w:r>
        <w:rPr/>
        <w:t xml:space="preserve">مؤلفاته:</w:t>
      </w:r>
    </w:p>
    <w:p/>
    <w:p>
      <w:pPr/>
      <w:r>
        <w:rPr/>
        <w:t xml:space="preserve">1) تأليف في البيوع، والسبب في تأليفه أنه طلب منه أن يؤلف في التصوف، فألهم به وشرع في تأليف بيوعه، قيل له في ذلك فقال: هو التصوف لأن مدار التصوف على أكل الحلال، ومن لا يعرف أحكام المعاملات لا يسلم من أكل الحرام بالربا، والبيوع الفاسدة، فألفته للتوصل إلى أكل الحلال.</w:t>
      </w:r>
    </w:p>
    <w:p/>
    <w:p>
      <w:pPr/>
      <w:r>
        <w:rPr/>
        <w:t xml:space="preserve">شرحه أحمد القباب الفاسي، وأبو زيد التلمساني وأبو سالم العياشي صاحب الرحلة ونظم الأصل وشرحه أحمد بن سعيد الحباك المكناسي (كما في التعلل برسوم الاسناد لابن غازي ص 87).</w:t>
      </w:r>
    </w:p>
    <w:p/>
    <w:p>
      <w:pPr/>
      <w:r>
        <w:rPr/>
        <w:t xml:space="preserve">2) تذكرة المبتدئ، نقل منه إبراهيم بن علي بن فرحون صاحب «الديباج المذهب» في كتابه «إرشاد السالك إلى أفعال المناسك».</w:t>
      </w:r>
    </w:p>
    <w:p/>
    <w:p>
      <w:pPr/>
      <w:r>
        <w:rPr/>
        <w:t xml:space="preserve">3) منسك: نقل عنه ابن فرحون في كتابه السالف الذكر.</w:t>
      </w:r>
    </w:p>
    <w:p/>
    <w:p>
      <w:pPr/>
      <w:r>
        <w:rPr/>
        <w:t xml:space="preserve">الورقة 13 ب والورقة 103 ب من نسخة المكتبة الوطنية بتونس التي أصلها من مكتبة الشيخ علي النوري بصفاقس.</w:t>
      </w:r>
    </w:p>
    <w:p/>
    <w:p>
      <w:pPr/>
      <w:r>
        <w:rPr/>
        <w:t xml:space="preserve">المصادر والمراجع:</w:t>
      </w:r>
    </w:p>
    <w:p/>
    <w:p>
      <w:pPr/>
      <w:r>
        <w:rPr/>
        <w:t xml:space="preserve">- تاريخ الدولتين 51.</w:t>
      </w:r>
    </w:p>
    <w:p/>
    <w:p>
      <w:pPr/>
      <w:r>
        <w:rPr/>
        <w:t xml:space="preserve">- التعلل برسوم الاسناد بعد انتقال أهل المنزل والناد تحقيق محمد الزاهي (التونسي) الدار البيضاء 1399/ 1979.</w:t>
      </w:r>
    </w:p>
    <w:p/>
    <w:p>
      <w:pPr/>
      <w:r>
        <w:rPr/>
        <w:t xml:space="preserve">- درة الحجال 3/ 135.</w:t>
      </w:r>
    </w:p>
    <w:p/>
    <w:p>
      <w:pPr/>
      <w:r>
        <w:rPr/>
        <w:t xml:space="preserve">- شجرة النور الزكية ص 205 - 206.</w:t>
      </w:r>
    </w:p>
    <w:p>
      <w:pPr>
        <w:jc w:val="start"/>
        <w:bidi/>
      </w:pPr>
      <w:r>
        <w:rPr>
          <w:sz w:val="24"/>
          <w:szCs w:val="24"/>
          <w:b w:val="1"/>
          <w:bCs w:val="1"/>
          <w:rtl/>
        </w:rPr>
        <w:t xml:space="preserve">
تراجم المؤلفين التونسيين،(دار الغرب الإسلامي، بيروت - لبنان،1994،ط 2،ج 2،ص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2026-06-13T19:09:28+03:00</dcterms:created>
  <dcterms:modified xsi:type="dcterms:W3CDTF">2026-06-13T19:09:28+03:00</dcterms:modified>
</cp:coreProperties>
</file>

<file path=docProps/custom.xml><?xml version="1.0" encoding="utf-8"?>
<Properties xmlns="http://schemas.openxmlformats.org/officeDocument/2006/custom-properties" xmlns:vt="http://schemas.openxmlformats.org/officeDocument/2006/docPropsVTypes"/>
</file>