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التميمي التونسي
</w:t>
      </w:r>
    </w:p>
    <w:p>
      <w:pPr>
        <w:jc w:val="start"/>
        <w:bidi/>
      </w:pPr>
      <w:r>
        <w:rPr>
          <w:rFonts w:ascii="arial" w:hAnsi="arial" w:eastAsia="arial" w:cs="arial"/>
          <w:sz w:val="28"/>
          <w:szCs w:val="28"/>
          <w:b w:val="1"/>
          <w:bCs w:val="1"/>
          <w:rtl/>
        </w:rPr>
        <w:t xml:space="preserve">التميمي التونسي
</w:t>
      </w:r>
    </w:p>
    <w:p>
      <w:pPr/>
      <w:r>
        <w:rPr/>
        <w:t xml:space="preserve">التميمي التونسي  محمد بن علي التميمي التونسي. قدم مصر، وجعل ناظرا لمسجد أبي الذهب وأوقافه واتصل بإبراهيم باشا، فكان يعلم أولاده العربية، وكان عالما ذكيا، ودرس بالأزهر فحسنت حالته، وكانت فيه حدة، ولما توفي إبراهيم باشا نفاه الخديوي عباس، فذهب إلى الحجاز، ثم رحل إلى القسطنطينية فتوفي بها.</w:t>
      </w:r>
    </w:p>
    <w:p/>
    <w:p>
      <w:pPr/>
      <w:r>
        <w:rPr/>
        <w:t xml:space="preserve">من آثاره:</w:t>
      </w:r>
    </w:p>
    <w:p/>
    <w:p>
      <w:pPr/>
      <w:r>
        <w:rPr/>
        <w:t xml:space="preserve">1 - تعديل المرقاة وجلاء المرآة لملا خسرو.</w:t>
      </w:r>
    </w:p>
    <w:p/>
    <w:p>
      <w:pPr/>
      <w:r>
        <w:rPr/>
        <w:t xml:space="preserve">2 - حاشية على مرآة الأصول.</w:t>
      </w:r>
    </w:p>
    <w:p/>
    <w:p>
      <w:pPr/>
      <w:r>
        <w:rPr/>
        <w:t xml:space="preserve">المراجع:</w:t>
      </w:r>
    </w:p>
    <w:p/>
    <w:p>
      <w:pPr/>
      <w:r>
        <w:rPr/>
        <w:t xml:space="preserve">- الأعلام 6/ 299 (ط 5/)، إيضاح المكنون 1/ 295، معجم المؤلفين 10/ 312.</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190)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التميمي التونسي
</w:t>
      </w:r>
    </w:p>
    <w:p>
      <w:pPr/>
      <w:r>
        <w:rPr/>
        <w:t xml:space="preserve">التميمي التونسي  محمد بن علي التميمي التونسي. قدم مصر، وجعل ناظرا لمسجد أبي الذهب وأوقافه واتصل بإبراهيم باشا، فكان يعلم أولاده العربية، وكان عالما ذكيا، ودرس بالأزهر فحسنت حالته، وكانت فيه حدة، ولما توفي إبراهيم باشا نفاه الخديوي عباس، فذهب إلى الحجاز، ثم رحل إلى القسطنطينية فتوفي بها.</w:t>
      </w:r>
    </w:p>
    <w:p/>
    <w:p>
      <w:pPr/>
      <w:r>
        <w:rPr/>
        <w:t xml:space="preserve">من آثاره:</w:t>
      </w:r>
    </w:p>
    <w:p/>
    <w:p>
      <w:pPr/>
      <w:r>
        <w:rPr/>
        <w:t xml:space="preserve">1) تعديل المرقاة وجلاء المرآة لملا خسرو.</w:t>
      </w:r>
    </w:p>
    <w:p/>
    <w:p>
      <w:pPr/>
      <w:r>
        <w:rPr/>
        <w:t xml:space="preserve">2) حاشية على مرآة الأصول.</w:t>
      </w:r>
    </w:p>
    <w:p/>
    <w:p>
      <w:pPr/>
      <w:r>
        <w:rPr/>
        <w:t xml:space="preserve">المراجع:</w:t>
      </w:r>
    </w:p>
    <w:p/>
    <w:p>
      <w:pPr/>
      <w:r>
        <w:rPr/>
        <w:t xml:space="preserve">- الأعلام 6/ 299 (ط 5/)، إيضاح المكنون 1/ 295، معجم المؤلفين 10/ 312.</w:t>
      </w:r>
    </w:p>
    <w:p>
      <w:pPr>
        <w:jc w:val="start"/>
        <w:bidi/>
      </w:pPr>
      <w:r>
        <w:rPr>
          <w:sz w:val="24"/>
          <w:szCs w:val="24"/>
          <w:b w:val="1"/>
          <w:bCs w:val="1"/>
          <w:rtl/>
        </w:rPr>
        <w:t xml:space="preserve">
تراجم المؤلفين التونسيين،(دار الغرب الإسلامي، بيروت - لبنان،1994،ط 2،ج 5،ص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2026-06-10T11:15:40+03:00</dcterms:created>
  <dcterms:modified xsi:type="dcterms:W3CDTF">2026-06-10T11:15:40+03:00</dcterms:modified>
</cp:coreProperties>
</file>

<file path=docProps/custom.xml><?xml version="1.0" encoding="utf-8"?>
<Properties xmlns="http://schemas.openxmlformats.org/officeDocument/2006/custom-properties" xmlns:vt="http://schemas.openxmlformats.org/officeDocument/2006/docPropsVTypes"/>
</file>