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التلاتلي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التلاتلي
</w:t>
      </w:r>
    </w:p>
    <w:p>
      <w:pPr/>
      <w:r>
        <w:rPr/>
        <w:t xml:space="preserve">التلاتلي  عمر التلاتلي الجربي الإباضي.</w:t>
      </w:r>
    </w:p>
    <w:p/>
    <w:p>
      <w:pPr/>
      <w:r>
        <w:rPr/>
        <w:t xml:space="preserve">من شيوخه عمر البلار اليسوتي النفوسي.</w:t>
      </w:r>
    </w:p>
    <w:p/>
    <w:p>
      <w:pPr/>
      <w:r>
        <w:rPr/>
        <w:t xml:space="preserve">رحل إلى مصر واستقر بوكالة الجاموس بحي طولون بالقاهرة إلى وفاته وهاته الوكالة من أحباس أسرتي النجار والجملي من أجيم جربة، وفيها مكتبة لطلاب العلم.</w:t>
      </w:r>
    </w:p>
    <w:p/>
    <w:p>
      <w:pPr/>
      <w:r>
        <w:rPr/>
        <w:t xml:space="preserve">له نزهة الأديب وريحانة اللبيب، مخطوط في مكتبة الشيخ سالم بن يعقوب بحربة.</w:t>
      </w:r>
    </w:p>
    <w:p/>
    <w:p>
      <w:pPr/>
      <w:r>
        <w:rPr/>
        <w:t xml:space="preserve">المرجع:</w:t>
      </w:r>
    </w:p>
    <w:p/>
    <w:p>
      <w:pPr/>
      <w:r>
        <w:rPr/>
        <w:t xml:space="preserve">- نظام العزابة 258 - 259، 337 (تعليق 16) 345.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2026-06-13T19:08:50+03:00</dcterms:created>
  <dcterms:modified xsi:type="dcterms:W3CDTF">2026-06-13T19:08:50+03:00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