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
</w:t>
      </w:r>
    </w:p>
    <w:p>
      <w:pPr/>
      <w:r>
        <w:rPr/>
        <w:t xml:space="preserve">البنا  محمد بن محمد البنا التونسي، الفقيه.</w:t>
      </w:r>
    </w:p>
    <w:p/>
    <w:p>
      <w:pPr/>
      <w:r>
        <w:rPr/>
        <w:t xml:space="preserve">أخذ عن الشيخ إبراهيم الرياحي، والشيخ حسن الشريف، والشيخ الطاهر بن مسعود وعنه جماعة منهم محمد الحربي المنستيري والطاهر والطيب ابنا رفيقه الشيخ محمد النيفر وصالح النيفر.</w:t>
      </w:r>
    </w:p>
    <w:p/>
    <w:p>
      <w:pPr/>
      <w:r>
        <w:rPr/>
        <w:t xml:space="preserve">درس بجامع الزيتونة، وتولى القضاء ثم الإفتاء وإماما ثانيا بجامع الزيتونة، ويوم ولايته الفتيا تولى قرينه الشيخ محمد النيفر الأكبر خطة القضاء سنة 1262/ 1843 وذلك بمحضر رئيس المفتيين الشيخ إبراهيم الرياحي الذي قال للمشير أحمد باشا باي: «أصبت في انتخابك لا زلت تصيب، هما خير أقرانهما علما ودينا».</w:t>
      </w:r>
    </w:p>
    <w:p/>
    <w:p>
      <w:pPr/>
      <w:r>
        <w:rPr/>
        <w:t xml:space="preserve">كان عالما فقيها مطلعا جيد الحفظ ثاقب الفهم، عالي الهمة متواضعا.</w:t>
      </w:r>
    </w:p>
    <w:p/>
    <w:p>
      <w:pPr/>
      <w:r>
        <w:rPr/>
        <w:t xml:space="preserve">توفي يوم الأربعاء 16 محرم سنة 1283/ 10 ماي 1866 عن غير عقب.</w:t>
      </w:r>
    </w:p>
    <w:p/>
    <w:p>
      <w:pPr/>
      <w:r>
        <w:rPr/>
        <w:t xml:space="preserve">تآليفه:</w:t>
      </w:r>
    </w:p>
    <w:p/>
    <w:p>
      <w:pPr/>
      <w:r>
        <w:rPr/>
        <w:t xml:space="preserve">1 - ديوان خطب منبرية.</w:t>
      </w:r>
    </w:p>
    <w:p/>
    <w:p>
      <w:pPr/>
      <w:r>
        <w:rPr/>
        <w:t xml:space="preserve">2 - مجموعة من الفتاوى.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إتحاف أهل الزمان 8/ 143 - 144.</w:t>
      </w:r>
    </w:p>
    <w:p/>
    <w:p>
      <w:pPr/>
      <w:r>
        <w:rPr/>
        <w:t xml:space="preserve">- شجرة النور الزكية 391 - 392.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2026-06-13T19:04:54+03:00</dcterms:created>
  <dcterms:modified xsi:type="dcterms:W3CDTF">2026-06-13T19:04:54+03:00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