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يواكيم مبارك
</w:t>
      </w:r>
    </w:p>
    <w:p>
      <w:pPr>
        <w:jc w:val="start"/>
        <w:bidi/>
      </w:pPr>
      <w:r>
        <w:rPr>
          <w:rFonts w:ascii="arial" w:hAnsi="arial" w:eastAsia="arial" w:cs="arial"/>
          <w:sz w:val="28"/>
          <w:szCs w:val="28"/>
          <w:b w:val="1"/>
          <w:bCs w:val="1"/>
          <w:rtl/>
        </w:rPr>
        <w:t xml:space="preserve">يواكيم مبارك
</w:t>
      </w:r>
    </w:p>
    <w:p>
      <w:pPr/>
      <w:r>
        <w:rPr/>
        <w:t xml:space="preserve">يواكيم مبارك  يواكيم مبارك: من رواد الحوار الإسلامي المسيحي، أب من أهالي لبنان. حصل على ثلاث شهادات دكتوراه في اللاهوت والعلوم الإسلامية والآداب من جامعة السوربون. منح وسام اتحاد المؤرخين العرب. له كثير من المؤلفات. كتب بالعربية، منها (الحوار الإسلامي المسيحي في لبنان)، (القدس القضية)، (الخماسية الأنطاكية: أبعاد مارونية) وله بالفرنسية (الأسماء الحسنى في القرآن)، (إبراهيم في القرآن)، (الإسلام)، (الفكر المسيحي والإسلام من أيام النبي إلى المجمع الفاتيكاني). توفي في مونبيليه بفرنسا.</w:t>
      </w:r>
    </w:p>
    <w:p/>
    <w:p>
      <w:pPr>
        <w:jc w:val="start"/>
        <w:bidi/>
      </w:pPr>
      <w:r>
        <w:rPr>
          <w:sz w:val="24"/>
          <w:szCs w:val="24"/>
          <w:b w:val="1"/>
          <w:bCs w:val="1"/>
          <w:rtl/>
        </w:rPr>
        <w:t xml:space="preserve">
إتمام الأعلام،(دار صادر - بيروت،1999،ط 1،ج 1،ص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2026-06-15T14:59:42+03:00</dcterms:created>
  <dcterms:modified xsi:type="dcterms:W3CDTF">2026-06-15T14:59:42+03:00</dcterms:modified>
</cp:coreProperties>
</file>

<file path=docProps/custom.xml><?xml version="1.0" encoding="utf-8"?>
<Properties xmlns="http://schemas.openxmlformats.org/officeDocument/2006/custom-properties" xmlns:vt="http://schemas.openxmlformats.org/officeDocument/2006/docPropsVTypes"/>
</file>