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خفشه
</w:t>
      </w:r>
    </w:p>
    <w:p>
      <w:pPr>
        <w:jc w:val="start"/>
        <w:bidi/>
      </w:pPr>
      <w:r>
        <w:rPr>
          <w:rFonts w:ascii="arial" w:hAnsi="arial" w:eastAsia="arial" w:cs="arial"/>
          <w:sz w:val="28"/>
          <w:szCs w:val="28"/>
          <w:b w:val="1"/>
          <w:bCs w:val="1"/>
          <w:rtl/>
        </w:rPr>
        <w:t xml:space="preserve">الهادي خفشه
</w:t>
      </w:r>
    </w:p>
    <w:p>
      <w:pPr/>
      <w:r>
        <w:rPr/>
        <w:t xml:space="preserve">الهادي خفشه  الهادي خفشه: حقوقي سياسي. ولد في المنستير بتونس. تعلم بالمدرسة الصادقية، وتخرج بكلية الحقوق بجامعة الجزائر، ومارس المحاماة. انضم إلى حزب الدستور الجديد، وبعد استقلال بلاده انتخب نائبا، واختير وزيرا للعدل فكان من واجباته إلغاء المحاكم الشرعية وتوحد القضاء في إطار مدني. وأشرف على وضع القانون المدني للأحوال الشخصية الذي منع تعدد الزوجات. وعين وزيرا للصحة فوضع برنامجا لتحديد النسل، ثم وزيرا للداخلية فوزيرا للإسكان والأشغال العامة فوزيرا للدفاع حتى وفاته.</w:t>
      </w:r>
    </w:p>
    <w:p/>
    <w:p>
      <w:pPr>
        <w:jc w:val="start"/>
        <w:bidi/>
      </w:pPr>
      <w:r>
        <w:rPr>
          <w:sz w:val="24"/>
          <w:szCs w:val="24"/>
          <w:b w:val="1"/>
          <w:bCs w:val="1"/>
          <w:rtl/>
        </w:rPr>
        <w:t xml:space="preserve">
إتمام الأعلام،(دار صادر - بيروت،1999،ط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2026-06-10T20:36:15+03:00</dcterms:created>
  <dcterms:modified xsi:type="dcterms:W3CDTF">2026-06-10T20:36:15+03:00</dcterms:modified>
</cp:coreProperties>
</file>

<file path=docProps/custom.xml><?xml version="1.0" encoding="utf-8"?>
<Properties xmlns="http://schemas.openxmlformats.org/officeDocument/2006/custom-properties" xmlns:vt="http://schemas.openxmlformats.org/officeDocument/2006/docPropsVTypes"/>
</file>