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النشاوي
</w:t>
      </w:r>
    </w:p>
    <w:p>
      <w:pPr>
        <w:jc w:val="start"/>
        <w:bidi/>
      </w:pPr>
      <w:r>
        <w:rPr>
          <w:rFonts w:ascii="arial" w:hAnsi="arial" w:eastAsia="arial" w:cs="arial"/>
          <w:sz w:val="28"/>
          <w:szCs w:val="28"/>
          <w:b w:val="1"/>
          <w:bCs w:val="1"/>
          <w:rtl/>
        </w:rPr>
        <w:t xml:space="preserve">النشاوي
</w:t>
      </w:r>
    </w:p>
    <w:p>
      <w:pPr/>
      <w:r>
        <w:rPr/>
        <w:t xml:space="preserve">النشاوي  نسيب بن عبد الحميد النشاوي: باحث من أهالي دمشق. ولد بها. ونال إجازة اللغة العربية من جامعتها. عمل بالتدريس، ثم حصل على درجة الدكتوراه بالأدب العربي الحديث من جامعة القديس يوسف (اليسوعية) ببيروت. ورحل إلى الجزائر أستاذا في الجامعة، وبها توفي. ونقل جثمانه إلى دمشق. له (الدقائق المحكمة في شرح المقدمة الجزرية في علم التجويد) لزكريا الأنصاري)، (شرح البديعية في علوم البلاغة ومحاسن البديع) لصفي الدين الحلي، (موقظ الوسنان وموقد الأذهان) لابن هشام، (مدخل إلى دراسة المدارس الأدبية في الشعر العربي المعاصر: الاتباعية الرومانسية الواقعية الرمزية) رسالة الدكتوراه وكلها مطبوعة.</w:t>
      </w:r>
    </w:p>
    <w:p/>
    <w:p>
      <w:pPr>
        <w:jc w:val="start"/>
        <w:bidi/>
      </w:pPr>
      <w:r>
        <w:rPr>
          <w:sz w:val="24"/>
          <w:szCs w:val="24"/>
          <w:b w:val="1"/>
          <w:bCs w:val="1"/>
          <w:rtl/>
        </w:rPr>
        <w:t xml:space="preserve">
إتمام الأعلام،(دار صادر - بيروت،1999،ط 1،ج 1،ص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2026-06-13T18:08:29+03:00</dcterms:created>
  <dcterms:modified xsi:type="dcterms:W3CDTF">2026-06-13T18:08:29+03:00</dcterms:modified>
</cp:coreProperties>
</file>

<file path=docProps/custom.xml><?xml version="1.0" encoding="utf-8"?>
<Properties xmlns="http://schemas.openxmlformats.org/officeDocument/2006/custom-properties" xmlns:vt="http://schemas.openxmlformats.org/officeDocument/2006/docPropsVTypes"/>
</file>