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عقيقي
</w:t>
      </w:r>
    </w:p>
    <w:p>
      <w:pPr>
        <w:jc w:val="start"/>
        <w:bidi/>
      </w:pPr>
      <w:r>
        <w:rPr>
          <w:rFonts w:ascii="arial" w:hAnsi="arial" w:eastAsia="arial" w:cs="arial"/>
          <w:sz w:val="28"/>
          <w:szCs w:val="28"/>
          <w:b w:val="1"/>
          <w:bCs w:val="1"/>
          <w:rtl/>
        </w:rPr>
        <w:t xml:space="preserve">نجيب عقيقي
</w:t>
      </w:r>
    </w:p>
    <w:p>
      <w:pPr/>
      <w:r>
        <w:rPr/>
        <w:t xml:space="preserve">نجيب عقيقي  نجيب عقيقي: أديب، باحث، ولد في لبنان، وتعلم بمدارسه الوطنية، واشتغل بالصحافة والتعليم، ثم سافر إلى القاهرة فعلم بمدارس مسيحية فيها، وانتسب إلى الجامعة المصرية. ومنحته الحكومة اللبنانية وسام الأرز من درجة فارس. من كتبه (تجفيف المستنقعات)، (برج بابل)، (أرض الله)، (سلم المرتد)، (قصص وأساطير فارسية)، (قصص وأساطير من إسبانيا)، (دستور اليونسكو)، (الترجمة في اليونسكو)، (إيران في القرن الثاني عشر)، (المستشرقون)، ثلاثة أجزاء، (من الأدب المقارن) صدر منه 6 أجزاء وكان يعكف على السابع قبل وفاته في القاهرة.</w:t>
      </w:r>
    </w:p>
    <w:p/>
    <w:p>
      <w:pPr>
        <w:jc w:val="start"/>
        <w:bidi/>
      </w:pPr>
      <w:r>
        <w:rPr>
          <w:sz w:val="24"/>
          <w:szCs w:val="24"/>
          <w:b w:val="1"/>
          <w:bCs w:val="1"/>
          <w:rtl/>
        </w:rPr>
        <w:t xml:space="preserve">
إتمام الأعلام،(دار صادر - بيروت،1999،ط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2026-06-13T18:11:43+03:00</dcterms:created>
  <dcterms:modified xsi:type="dcterms:W3CDTF">2026-06-13T18:11:43+03:00</dcterms:modified>
</cp:coreProperties>
</file>

<file path=docProps/custom.xml><?xml version="1.0" encoding="utf-8"?>
<Properties xmlns="http://schemas.openxmlformats.org/officeDocument/2006/custom-properties" xmlns:vt="http://schemas.openxmlformats.org/officeDocument/2006/docPropsVTypes"/>
</file>