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العويني
</w:t>
      </w:r>
    </w:p>
    <w:p>
      <w:pPr>
        <w:jc w:val="start"/>
        <w:bidi/>
      </w:pPr>
      <w:r>
        <w:rPr>
          <w:rFonts w:ascii="arial" w:hAnsi="arial" w:eastAsia="arial" w:cs="arial"/>
          <w:sz w:val="28"/>
          <w:szCs w:val="28"/>
          <w:b w:val="1"/>
          <w:bCs w:val="1"/>
          <w:rtl/>
        </w:rPr>
        <w:t xml:space="preserve">العويني
</w:t>
      </w:r>
    </w:p>
    <w:p>
      <w:pPr/>
      <w:r>
        <w:rPr/>
        <w:t xml:space="preserve">العويني  محمد علي العويني: باحث مفكر من أهالي مصر. تخرج بكلية الاقتصاد والعلوم السياسية بجامعة القاهرة، وعين فيما بعد في هيئة التدريس بها بكلية الإعلام واختير رئيسا لقسم العلاقات العامة والإعلان بها. وحصل على الماجستير فالدكتوراه فحاضر بعدد من جامعات أوربا وإفريقية وآسيا. وكان مستشارا وخبيرا لعديد من الأجهزة العربية. له (الإعلام الخليجي: دراسة إعلام دول مجلس التعاون الخليجي)، (العلوم السياسية: دراسة في الأصول والنظريات والتطبيق)، (الإعلام الدولي بين النظرية والتطبيق)، (الإعلام الإسلامي الدولي بين النظرية والتطبيق)، (الإعلام السياسي العربي المعاصر) ونشرت له الصحف مقالات عديدة وبحوثا.</w:t>
      </w:r>
    </w:p>
    <w:p/>
    <w:p>
      <w:pPr>
        <w:jc w:val="start"/>
        <w:bidi/>
      </w:pPr>
      <w:r>
        <w:rPr>
          <w:sz w:val="24"/>
          <w:szCs w:val="24"/>
          <w:b w:val="1"/>
          <w:bCs w:val="1"/>
          <w:rtl/>
        </w:rPr>
        <w:t xml:space="preserve">
إتمام الأعلام،(دار صادر - بيروت،1999،ط 1،ج 1،ص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2026-05-15T05:48:13+03:00</dcterms:created>
  <dcterms:modified xsi:type="dcterms:W3CDTF">2026-05-15T05:48:13+03:00</dcterms:modified>
</cp:coreProperties>
</file>

<file path=docProps/custom.xml><?xml version="1.0" encoding="utf-8"?>
<Properties xmlns="http://schemas.openxmlformats.org/officeDocument/2006/custom-properties" xmlns:vt="http://schemas.openxmlformats.org/officeDocument/2006/docPropsVTypes"/>
</file>