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ثاني حبيب
</w:t>
      </w:r>
    </w:p>
    <w:p>
      <w:pPr>
        <w:jc w:val="start"/>
        <w:bidi/>
      </w:pPr>
      <w:r>
        <w:rPr>
          <w:rFonts w:ascii="arial" w:hAnsi="arial" w:eastAsia="arial" w:cs="arial"/>
          <w:sz w:val="28"/>
          <w:szCs w:val="28"/>
          <w:b w:val="1"/>
          <w:bCs w:val="1"/>
          <w:rtl/>
        </w:rPr>
        <w:t xml:space="preserve">محمد ثاني حبيب
</w:t>
      </w:r>
    </w:p>
    <w:p>
      <w:pPr/>
      <w:r>
        <w:rPr/>
        <w:t xml:space="preserve">محمد ثاني حبيب  محمد ثاني حبيب: إمام المسلمين في أثيوبيا ورئيس المجلس الإسلامي الأعلى فيها. كان يؤم في المسجد الأنور بأديس أبابا. عرف بورعه وزهده وعلمه وصلاحه وصلاته الطيبة مع جميع قطاعات الشعب الأثيوبي مما انعكس على الصحوة الإسلامية في بلاده.</w:t>
      </w:r>
    </w:p>
    <w:p/>
    <w:p>
      <w:pPr>
        <w:jc w:val="start"/>
        <w:bidi/>
      </w:pPr>
      <w:r>
        <w:rPr>
          <w:sz w:val="24"/>
          <w:szCs w:val="24"/>
          <w:b w:val="1"/>
          <w:bCs w:val="1"/>
          <w:rtl/>
        </w:rPr>
        <w:t xml:space="preserve">
إتمام الأعلام،(دار صادر - بيروت،1999،ط 1،ج 1،ص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2026-05-15T01:01:52+03:00</dcterms:created>
  <dcterms:modified xsi:type="dcterms:W3CDTF">2026-05-15T01:01:52+03:00</dcterms:modified>
</cp:coreProperties>
</file>

<file path=docProps/custom.xml><?xml version="1.0" encoding="utf-8"?>
<Properties xmlns="http://schemas.openxmlformats.org/officeDocument/2006/custom-properties" xmlns:vt="http://schemas.openxmlformats.org/officeDocument/2006/docPropsVTypes"/>
</file>