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الحجري
</w:t>
      </w:r>
    </w:p>
    <w:p>
      <w:pPr>
        <w:jc w:val="start"/>
        <w:bidi/>
      </w:pPr>
      <w:r>
        <w:rPr>
          <w:rFonts w:ascii="arial" w:hAnsi="arial" w:eastAsia="arial" w:cs="arial"/>
          <w:sz w:val="28"/>
          <w:szCs w:val="28"/>
          <w:b w:val="1"/>
          <w:bCs w:val="1"/>
          <w:rtl/>
        </w:rPr>
        <w:t xml:space="preserve">الحجري
</w:t>
      </w:r>
    </w:p>
    <w:p>
      <w:pPr/>
      <w:r>
        <w:rPr/>
        <w:t xml:space="preserve">الحجري  محمد بن إسماعيل الحجري: قاض من الباحثين التونسيين. ولد في قرية بو حجر. التحق بالزيتونة ثم دخل مدرسة الحقوق التونسية. وعمل بالقضاء فتدرج في مناصبه حتى شغل منصب حاكم في عدد من المناطق. له (مرآة المرأة) دراسة اجتماعية (مأساة المغرورة) قصة. وكتبت في القانون (أقصية القاضي)، (المختصر في الجنايات).</w:t>
      </w:r>
    </w:p>
    <w:p/>
    <w:p>
      <w:pPr>
        <w:jc w:val="start"/>
        <w:bidi/>
      </w:pPr>
      <w:r>
        <w:rPr>
          <w:sz w:val="24"/>
          <w:szCs w:val="24"/>
          <w:b w:val="1"/>
          <w:bCs w:val="1"/>
          <w:rtl/>
        </w:rPr>
        <w:t xml:space="preserve">
إتمام الأعلام،(دار صادر - بيروت،1999،ط 1،ج 1،ص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إسماعيل الحجري 
</w:t>
      </w:r>
    </w:p>
    <w:p>
      <w:pPr/>
      <w:r>
        <w:rPr/>
        <w:t xml:space="preserve">القاضي الأديب.</w:t>
      </w:r>
    </w:p>
    <w:p/>
    <w:p>
      <w:pPr/>
      <w:r>
        <w:rPr/>
        <w:t xml:space="preserve">ولد في قرية بو حجر بتونس، والتحق بجامع الزيتونة، ثم مدرسة الحقوق التونسية، وتدرج في مناصب القضاء. كتب المقال النقدي، والدراسة الاجتماعية، ونشر إنتاجه في الجرائد والمجلات التونسية، والمشرقية.</w:t>
      </w:r>
    </w:p>
    <w:p/>
    <w:p>
      <w:pPr/>
      <w:r>
        <w:rPr/>
        <w:t xml:space="preserve">من مؤلفاته:</w:t>
      </w:r>
    </w:p>
    <w:p/>
    <w:p>
      <w:pPr/>
      <w:r>
        <w:rPr/>
        <w:t xml:space="preserve">- مرآة المرأة، (دراسة اجتماعية) تونس، 1964.</w:t>
      </w:r>
    </w:p>
    <w:p/>
    <w:p>
      <w:pPr/>
      <w:r>
        <w:rPr/>
        <w:t xml:space="preserve">- مأساة المغرورة (قصة) تونس، 1965.</w:t>
      </w:r>
    </w:p>
    <w:p/>
    <w:p>
      <w:pPr/>
      <w:r>
        <w:rPr/>
        <w:t xml:space="preserve">- أقضية القاضي (قانون) تونس، 1968.</w:t>
      </w:r>
    </w:p>
    <w:p/>
    <w:p>
      <w:pPr/>
      <w:r>
        <w:rPr/>
        <w:t xml:space="preserve">- المختصر في الجنايات (قانون) تونس، 1972 م.</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2026-05-14T23:54:13+03:00</dcterms:created>
  <dcterms:modified xsi:type="dcterms:W3CDTF">2026-05-14T23:54:13+03:00</dcterms:modified>
</cp:coreProperties>
</file>

<file path=docProps/custom.xml><?xml version="1.0" encoding="utf-8"?>
<Properties xmlns="http://schemas.openxmlformats.org/officeDocument/2006/custom-properties" xmlns:vt="http://schemas.openxmlformats.org/officeDocument/2006/docPropsVTypes"/>
</file>