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الرحماني المباركفوري
</w:t>
      </w:r>
    </w:p>
    <w:p>
      <w:pPr>
        <w:jc w:val="start"/>
        <w:bidi/>
      </w:pPr>
      <w:r>
        <w:rPr>
          <w:rFonts w:ascii="arial" w:hAnsi="arial" w:eastAsia="arial" w:cs="arial"/>
          <w:sz w:val="28"/>
          <w:szCs w:val="28"/>
          <w:b w:val="1"/>
          <w:bCs w:val="1"/>
          <w:rtl/>
        </w:rPr>
        <w:t xml:space="preserve">الرحماني المباركفوري
</w:t>
      </w:r>
    </w:p>
    <w:p>
      <w:pPr/>
      <w:r>
        <w:rPr/>
        <w:t xml:space="preserve">الرحماني المباركفوري  عبيد الله بن عبد السلام الرحماني أبو الحسن المباركفوري: من الدعاة الهنود وأهل الحديث. ولد في مباركفور، وتعلم على كبار الأساتذة، وتخرج بالمدرسة الرحمانية بدلهي، وإليها وإلى قريته نسب. وعين مدرسا بها، ثم اضطر في أثناء الاستقلال إلى ملازمة بيته والاشتغال بالتأليف والإفتاء بسبب ضياع المدرسة المذكورة. وهو من مؤسسي الجامعة السلفية في بنارس وترأسها وعمل على إنشاء جامعة المعارف الإسلامية. من مؤلفاته (مرعاة المفاتيح، شرح مشكاة المصابيح) وصل فيه إلى نهاية كتاب البيوع وبدأ ولده عبد الرحمن بإكماله (تاريخ المنوال)، (حكم التأمين في الإسلام)، (فضائل الصيام) وهذه الثلاثة الأخيرة بالأردية.</w:t>
      </w:r>
    </w:p>
    <w:p/>
    <w:p>
      <w:pPr>
        <w:jc w:val="start"/>
        <w:bidi/>
      </w:pPr>
      <w:r>
        <w:rPr>
          <w:sz w:val="24"/>
          <w:szCs w:val="24"/>
          <w:b w:val="1"/>
          <w:bCs w:val="1"/>
          <w:rtl/>
        </w:rPr>
        <w:t xml:space="preserve">
إتمام الأعلام،(دار صادر - بيروت،1999،ط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السلام الرحماني المباركفوري 
</w:t>
      </w:r>
    </w:p>
    <w:p>
      <w:pPr/>
      <w:r>
        <w:rPr/>
        <w:t xml:space="preserve">عالم، فقيه، محدث.</w:t>
      </w:r>
    </w:p>
    <w:p/>
    <w:p>
      <w:pPr/>
      <w:r>
        <w:rPr/>
        <w:t xml:space="preserve">تلقى علومه على كبار الأساتذة في الهند، وتخرج عام 1345 هـ في المدرسة الرحمانية في دلهي وعين مدرساً فيها، واضطر أثناء استقلال الهند إلى ملازمة بيته والاشتغال بالتأليف والإفتاء نتيجة لضياع المدرسة الرحمانية.</w:t>
      </w:r>
    </w:p>
    <w:p/>
    <w:p>
      <w:pPr/>
      <w:r>
        <w:rPr/>
        <w:t xml:space="preserve">وهو قائد جماعة أهل الحديث في شبه القارة الهندية؛ ونظراً لمكانته العلمية عينته جمعية أهل المركزية بالهند مشرفاً أعلى ومستشاراً لها لسنوات طويلة. كما شغل منصب نائب رئيس هيئة الأحوال الشخصية لمسلمي الهند.</w:t>
      </w:r>
    </w:p>
    <w:p/>
    <w:p>
      <w:pPr/>
      <w:r>
        <w:rPr/>
        <w:t xml:space="preserve">وكان عضواً كبيراً في هيئة التعليم الديني بولاية ’’أترا ابراه ديش’’، بالإضافة إلى عضويته وقيادته لعدد من المؤسسات التعليمية والدينية.</w:t>
      </w:r>
    </w:p>
    <w:p/>
    <w:p>
      <w:pPr/>
      <w:r>
        <w:rPr/>
        <w:t xml:space="preserve">وله مؤلفات عديدة باللغتين العربية والأردية، على رأسها شرحه الضافي لمشكاة المصابيح: ’’مرعاة المفاتيح في شرح مشكاة المصابيح’’.</w:t>
      </w:r>
    </w:p>
    <w:p/>
    <w:p>
      <w:pPr/>
      <w:r>
        <w:rPr/>
        <w:t xml:space="preserve">وله بالأردية: تاريخ المنوال، فضائل الصيام وأحكامها، حكم التأمين في الإسلام.</w:t>
      </w:r>
    </w:p>
    <w:p/>
    <w:p>
      <w:pPr/>
      <w:r>
        <w:rPr/>
        <w:t xml:space="preserve">بالإضافة إلى فتاوى ومقالات في مجلات وجرائد قديمة..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2026-05-14T18:46:27+03:00</dcterms:created>
  <dcterms:modified xsi:type="dcterms:W3CDTF">2026-05-14T18:46:27+03:00</dcterms:modified>
</cp:coreProperties>
</file>

<file path=docProps/custom.xml><?xml version="1.0" encoding="utf-8"?>
<Properties xmlns="http://schemas.openxmlformats.org/officeDocument/2006/custom-properties" xmlns:vt="http://schemas.openxmlformats.org/officeDocument/2006/docPropsVTypes"/>
</file>