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عتيق
</w:t>
      </w:r>
    </w:p>
    <w:p>
      <w:pPr>
        <w:jc w:val="start"/>
        <w:bidi/>
      </w:pPr>
      <w:r>
        <w:rPr>
          <w:rFonts w:ascii="arial" w:hAnsi="arial" w:eastAsia="arial" w:cs="arial"/>
          <w:sz w:val="28"/>
          <w:szCs w:val="28"/>
          <w:b w:val="1"/>
          <w:bCs w:val="1"/>
          <w:rtl/>
        </w:rPr>
        <w:t xml:space="preserve">ابن عتيق
</w:t>
      </w:r>
    </w:p>
    <w:p>
      <w:pPr/>
      <w:r>
        <w:rPr/>
        <w:t xml:space="preserve">ابن عتيق  عبد الرحمن بن عبد الله بن عتيق: قاض مرب من أهالي نجد. رحل إلى البحرين، ثم انتقل إلى الحمرية في الشارقة بمنطقة الإمارات العربية المتحدة فعمل بالتعليم. وذاع صيته فاستدعاه شيخ أم القيوين ليعلم أبناءه وليؤسس أول مدرسة فيها عام 1945 كان مقرها في بيت أخيه إبراهيم. وتولى الإمامة في مسجد الشيخ راشد فيها إلى جانب اشتغاله بالخطابة والوعظ والقضاء مدة طويلة.</w:t>
      </w:r>
    </w:p>
    <w:p/>
    <w:p>
      <w:pPr>
        <w:jc w:val="start"/>
        <w:bidi/>
      </w:pPr>
      <w:r>
        <w:rPr>
          <w:sz w:val="24"/>
          <w:szCs w:val="24"/>
          <w:b w:val="1"/>
          <w:bCs w:val="1"/>
          <w:rtl/>
        </w:rPr>
        <w:t xml:space="preserve">
إتمام الأعلام،(دار صادر - بيروت،1999،ط 1،ج 1،ص 150)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2026-06-10T01:04:16+03:00</dcterms:created>
  <dcterms:modified xsi:type="dcterms:W3CDTF">2026-06-10T01:04:16+03:00</dcterms:modified>
</cp:coreProperties>
</file>

<file path=docProps/custom.xml><?xml version="1.0" encoding="utf-8"?>
<Properties xmlns="http://schemas.openxmlformats.org/officeDocument/2006/custom-properties" xmlns:vt="http://schemas.openxmlformats.org/officeDocument/2006/docPropsVTypes"/>
</file>