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صبري أبو المجد
</w:t>
      </w:r>
    </w:p>
    <w:p>
      <w:pPr>
        <w:jc w:val="start"/>
        <w:bidi/>
      </w:pPr>
      <w:r>
        <w:rPr>
          <w:rFonts w:ascii="arial" w:hAnsi="arial" w:eastAsia="arial" w:cs="arial"/>
          <w:sz w:val="28"/>
          <w:szCs w:val="28"/>
          <w:b w:val="1"/>
          <w:bCs w:val="1"/>
          <w:rtl/>
        </w:rPr>
        <w:t xml:space="preserve">صبري أبو المجد
</w:t>
      </w:r>
    </w:p>
    <w:p>
      <w:pPr/>
      <w:r>
        <w:rPr/>
        <w:t xml:space="preserve">صبري أبو المجد  صبري أبو المجد: صحفي. تولى رئاسة تحرير عدد من الصحف الهامة في مصر منها جريدة (مايو) التي يصدرها الحزب الوطني الحاكم، واختير أمينا عاما للمجلس الأعلى للصحافة، وكان عضوا في مجلس الشورى. له (سنوات الغضب)، (سنوات ما قبل الثورة)، (عزيز علي المصري وصحبه: بناة الوحدة العربية الإسلامية)، (ثورة إفريقية)، (فكري أباظة)، (نهاية إسرائيل).</w:t>
      </w:r>
    </w:p>
    <w:p/>
    <w:p>
      <w:pPr>
        <w:jc w:val="start"/>
        <w:bidi/>
      </w:pPr>
      <w:r>
        <w:rPr>
          <w:sz w:val="24"/>
          <w:szCs w:val="24"/>
          <w:b w:val="1"/>
          <w:bCs w:val="1"/>
          <w:rtl/>
        </w:rPr>
        <w:t xml:space="preserve">
إتمام الأعلام،(دار صادر - بيروت،1999،ط 1،ج 1،ص 130)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2026-05-14T10:05:47+03:00</dcterms:created>
  <dcterms:modified xsi:type="dcterms:W3CDTF">2026-05-14T10:05:47+03:00</dcterms:modified>
</cp:coreProperties>
</file>

<file path=docProps/custom.xml><?xml version="1.0" encoding="utf-8"?>
<Properties xmlns="http://schemas.openxmlformats.org/officeDocument/2006/custom-properties" xmlns:vt="http://schemas.openxmlformats.org/officeDocument/2006/docPropsVTypes"/>
</file>