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بوقيري
</w:t>
      </w:r>
    </w:p>
    <w:p>
      <w:pPr>
        <w:jc w:val="start"/>
        <w:bidi/>
      </w:pPr>
      <w:r>
        <w:rPr>
          <w:rFonts w:ascii="arial" w:hAnsi="arial" w:eastAsia="arial" w:cs="arial"/>
          <w:sz w:val="28"/>
          <w:szCs w:val="28"/>
          <w:b w:val="1"/>
          <w:bCs w:val="1"/>
          <w:rtl/>
        </w:rPr>
        <w:t xml:space="preserve">بوقيري
</w:t>
      </w:r>
    </w:p>
    <w:p>
      <w:pPr/>
      <w:r>
        <w:rPr/>
        <w:t xml:space="preserve">بوقيري  حمزة بن محمد بوقيري: روائي من الوزراء السعوديين، ولد بمدينة الطائف، وتخرج بالمعهد العلمي السعودي، ثم التحق بكلية الآداب بجامعة القاهرة وحصل منها على الماجستير، عمل في التدريس والإعلام، وكان مديرا لإدارة الأحاديث والثقافة العامة، فمديرا عاما للمطبوعات، فمحررا في (مجلة الإذاعة)، فمديرا للإذاعة فوكيلا لوزارة الإعلام فوزيرا، تولى عدة مناصب اقتصادية، كان آخرها رئاسة مجلس الإدارة في البنك العربي السعودي، من مؤلفاته (القصة القصيرة في مصر ومحمود تيمور) ومن قصصه (سفينة الصفا)، (بائع التبغ)، ونشر مقالات في الصحف.</w:t>
      </w:r>
    </w:p>
    <w:p/>
    <w:p>
      <w:pPr>
        <w:jc w:val="start"/>
        <w:bidi/>
      </w:pPr>
      <w:r>
        <w:rPr>
          <w:sz w:val="24"/>
          <w:szCs w:val="24"/>
          <w:b w:val="1"/>
          <w:bCs w:val="1"/>
          <w:rtl/>
        </w:rPr>
        <w:t xml:space="preserve">
إتمام الأعلام،(دار صادر - بيروت،1999،ط 1،ج 1،ص 84)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2026-05-14T03:56:04+03:00</dcterms:created>
  <dcterms:modified xsi:type="dcterms:W3CDTF">2026-05-14T03:56:04+03:00</dcterms:modified>
</cp:coreProperties>
</file>

<file path=docProps/custom.xml><?xml version="1.0" encoding="utf-8"?>
<Properties xmlns="http://schemas.openxmlformats.org/officeDocument/2006/custom-properties" xmlns:vt="http://schemas.openxmlformats.org/officeDocument/2006/docPropsVTypes"/>
</file>