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مروة
</w:t>
      </w:r>
    </w:p>
    <w:p>
      <w:pPr>
        <w:jc w:val="start"/>
        <w:bidi/>
      </w:pPr>
      <w:r>
        <w:rPr>
          <w:rFonts w:ascii="arial" w:hAnsi="arial" w:eastAsia="arial" w:cs="arial"/>
          <w:sz w:val="28"/>
          <w:szCs w:val="28"/>
          <w:b w:val="1"/>
          <w:bCs w:val="1"/>
          <w:rtl/>
        </w:rPr>
        <w:t xml:space="preserve">مروة
</w:t>
      </w:r>
    </w:p>
    <w:p>
      <w:pPr/>
      <w:r>
        <w:rPr/>
        <w:t xml:space="preserve">مروة  حسين بن علي مروة: ناقد من أهالي لبنان، ولد في حداثا ودخل كلية الزراعة في بنت جبيل سنة واحدة ثم تابع دروسا دينية وعلمية في النبطية، وفي النجف. عمل في التدريس بالعراق حتى طردته الحكومة بحجة قيامه بأعمال سياسية يسارية، واشتغل بالصحافة في عدد من المجلات، شارك في تأسيس اتحاد الكتاب اللبنانيين عام 1948 وكان عضوا في كل من اتحاد الكتاب العرب بسورية واللجنة المركزية للحزب الشيوعي اللبناني، له (مع القافلة)، (قضايا أدبية)، (ثورة العراق)، (دراسات نقدية في ضوء المنهج الواقعي)، منحته جمعية أصدقاء الكتاب جائزة عليه (النزعات المادية في الفلسفة العربية الإسلامية)، (دراسات في الإسلام)، (في التراث والشريعة)، (عناوين جديدة لوجوه قديمة في تراثنا الأدبي والفكري)، (تراثنا: كيف نعرفه)، (الموقف الثوري في الأدب الإبداعي)، (ولدت شيخا وأموت طفلا)، لعدد من الكتاب (حسين مروة: شهادات في فكره) واشترك كتاب آخرون في (حوار مع فكر حسين مروة).</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2026-05-14T03:00:12+03:00</dcterms:created>
  <dcterms:modified xsi:type="dcterms:W3CDTF">2026-05-14T03:00:12+03:00</dcterms:modified>
</cp:coreProperties>
</file>

<file path=docProps/custom.xml><?xml version="1.0" encoding="utf-8"?>
<Properties xmlns="http://schemas.openxmlformats.org/officeDocument/2006/custom-properties" xmlns:vt="http://schemas.openxmlformats.org/officeDocument/2006/docPropsVTypes"/>
</file>