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البشير خريف
</w:t>
      </w:r>
    </w:p>
    <w:p>
      <w:pPr>
        <w:jc w:val="start"/>
        <w:bidi/>
      </w:pPr>
      <w:r>
        <w:rPr>
          <w:rFonts w:ascii="arial" w:hAnsi="arial" w:eastAsia="arial" w:cs="arial"/>
          <w:sz w:val="28"/>
          <w:szCs w:val="28"/>
          <w:b w:val="1"/>
          <w:bCs w:val="1"/>
          <w:rtl/>
        </w:rPr>
        <w:t xml:space="preserve">البشير خريف
</w:t>
      </w:r>
    </w:p>
    <w:p>
      <w:pPr/>
      <w:r>
        <w:rPr/>
        <w:t xml:space="preserve">البشير خريف  البشير بن إبراهيم خريف: قصاص روائي من أهالي تونس، من أنصار العامية والمدافعين عنها. ولد في بلدة نفطة تخرج في معهد الآداب واللغة العربية، عمل في التجارة كما عمل في التعليم عضو مؤسس لاتحاد الكتاب التونسيين ونادي القصة. له في القصة والرواية (حبك درباني)، (برق الليل)، (الدقلة في عراجينها)، (خليفة الأقرع)، (مشمول الفل)، (بلارة) ولفوزي زمرلي (الكتابة القصصية عند البشير خريف).</w:t>
      </w:r>
    </w:p>
    <w:p/>
    <w:p>
      <w:pPr>
        <w:jc w:val="start"/>
        <w:bidi/>
      </w:pPr>
      <w:r>
        <w:rPr>
          <w:sz w:val="24"/>
          <w:szCs w:val="24"/>
          <w:b w:val="1"/>
          <w:bCs w:val="1"/>
          <w:rtl/>
        </w:rPr>
        <w:t xml:space="preserve">
إتمام الأعلام،(دار صادر - بيروت،1999،ط 1،ج 1،ص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2026-05-13T22:53:14+03:00</dcterms:created>
  <dcterms:modified xsi:type="dcterms:W3CDTF">2026-05-13T22:53:14+03:00</dcterms:modified>
</cp:coreProperties>
</file>

<file path=docProps/custom.xml><?xml version="1.0" encoding="utf-8"?>
<Properties xmlns="http://schemas.openxmlformats.org/officeDocument/2006/custom-properties" xmlns:vt="http://schemas.openxmlformats.org/officeDocument/2006/docPropsVTypes"/>
</file>