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طليع
</w:t>
      </w:r>
    </w:p>
    <w:p>
      <w:pPr>
        <w:jc w:val="start"/>
        <w:bidi/>
      </w:pPr>
      <w:r>
        <w:rPr>
          <w:rFonts w:ascii="arial" w:hAnsi="arial" w:eastAsia="arial" w:cs="arial"/>
          <w:sz w:val="28"/>
          <w:szCs w:val="28"/>
          <w:b w:val="1"/>
          <w:bCs w:val="1"/>
          <w:rtl/>
        </w:rPr>
        <w:t xml:space="preserve">أمين طليع
</w:t>
      </w:r>
    </w:p>
    <w:p>
      <w:pPr/>
      <w:r>
        <w:rPr/>
        <w:t xml:space="preserve">أمين طليع  أمين بن محمد طليع: قاص كاتب. ولد في جديدة الشوف بلبنان، وتخرج محاميا بجامعة ليون. رحل إلى العراق للتدريس، وعاد إلى بلاده فشغل وظائف في القضاء. من كتبه (أصل الموحدين الدروز وأصولهم)، (مشيخة العقل والقضاء المذهبي الدرزي)، (التقمص)، (سيرة رشيد طليع) ومن مخطوطاته (تاريخ الشوف)، (تاريخ آل طليع)، (المذهب الدرزي)، (دراسة عن المرأة الدرزية).</w:t>
      </w:r>
    </w:p>
    <w:p/>
    <w:p>
      <w:pPr>
        <w:jc w:val="start"/>
        <w:bidi/>
      </w:pPr>
      <w:r>
        <w:rPr>
          <w:sz w:val="24"/>
          <w:szCs w:val="24"/>
          <w:b w:val="1"/>
          <w:bCs w:val="1"/>
          <w:rtl/>
        </w:rPr>
        <w:t xml:space="preserve">
إتمام الأعلام،(دار صادر - بيروت،1999،ط 1،ج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2026-05-13T21:41:22+03:00</dcterms:created>
  <dcterms:modified xsi:type="dcterms:W3CDTF">2026-05-13T21:41:22+03:00</dcterms:modified>
</cp:coreProperties>
</file>

<file path=docProps/custom.xml><?xml version="1.0" encoding="utf-8"?>
<Properties xmlns="http://schemas.openxmlformats.org/officeDocument/2006/custom-properties" xmlns:vt="http://schemas.openxmlformats.org/officeDocument/2006/docPropsVTypes"/>
</file>