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العياشي
</w:t>
      </w:r>
    </w:p>
    <w:p>
      <w:pPr>
        <w:jc w:val="start"/>
        <w:bidi/>
      </w:pPr>
      <w:r>
        <w:rPr>
          <w:rFonts w:ascii="arial" w:hAnsi="arial" w:eastAsia="arial" w:cs="arial"/>
          <w:sz w:val="28"/>
          <w:szCs w:val="28"/>
          <w:b w:val="1"/>
          <w:bCs w:val="1"/>
          <w:rtl/>
        </w:rPr>
        <w:t xml:space="preserve">العياشي
</w:t>
      </w:r>
    </w:p>
    <w:p>
      <w:pPr/>
      <w:r>
        <w:rPr/>
        <w:t xml:space="preserve">العياشي  إبراهيم بن علي العياشي: مؤرخ آثاري. ولد في المدينة المنورة، وتعلم بها في المدارس ثم على مشايخ الحرم النبوي، ثم عكف على المطالعة في مناحي الثقافة ولاسيما تاريخ المدينة المنورة، وقام في سبيل ذلك برحلات إلى مواقعها المختلفة حتى صار مرجعا. اشتغل في كثير من الوظائف الحكومية، من آثاره «المدينة المنورة بين الحاضر والماضي)، (في رحاب الجهاد المقدس وغزوة بدر الكبرى)، (مبضع الجراح) وكلها مطبوع. ورسم خريطة للمدينة المنورة، حدد عليها كثيرا من المواقع المهمة. وطبع خريطة للحجرة النبوية الشريفة.</w:t>
      </w:r>
    </w:p>
    <w:p/>
    <w:p>
      <w:pPr>
        <w:jc w:val="start"/>
        <w:bidi/>
      </w:pPr>
      <w:r>
        <w:rPr>
          <w:sz w:val="24"/>
          <w:szCs w:val="24"/>
          <w:b w:val="1"/>
          <w:bCs w:val="1"/>
          <w:rtl/>
        </w:rPr>
        <w:t xml:space="preserve">
إتمام الأعلام،(دار صادر - بيروت،1999،ط 1،ج 1،ص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2026-05-13T22:36:12+03:00</dcterms:created>
  <dcterms:modified xsi:type="dcterms:W3CDTF">2026-05-13T22:36:12+03:00</dcterms:modified>
</cp:coreProperties>
</file>

<file path=docProps/custom.xml><?xml version="1.0" encoding="utf-8"?>
<Properties xmlns="http://schemas.openxmlformats.org/officeDocument/2006/custom-properties" xmlns:vt="http://schemas.openxmlformats.org/officeDocument/2006/docPropsVTypes"/>
</file>